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sz w:val="42"/>
        </w:rPr>
        <w:t>5 Report-To-Campaign Expansion Templates</w:t>
      </w:r>
    </w:p>
    <w:p>
      <w:pPr>
        <w:jc w:val="center"/>
      </w:pPr>
      <w:r>
        <w:rPr>
          <w:i/>
          <w:sz w:val="22"/>
        </w:rPr>
        <w:t>Five templates for turning one affiliate report into repeatable campaign assets</w:t>
      </w:r>
    </w:p>
    <w:p/>
    <w:p>
      <w:pPr>
        <w:spacing w:after="120" w:line="259" w:lineRule="auto"/>
      </w:pPr>
      <w:r>
        <w:t>These templates help you multiply campaigns without copying the same message repeatedly. Use them after one report has a clear problem, promise, and matching product category.</w:t>
      </w:r>
    </w:p>
    <w:p>
      <w:pPr>
        <w:pStyle w:val="Heading1"/>
      </w:pPr>
      <w:r>
        <w:t>Template 1: Report To Email Campaign</w:t>
      </w:r>
    </w:p>
    <w:p>
      <w:pPr>
        <w:spacing w:after="120" w:line="259" w:lineRule="auto"/>
      </w:pPr>
      <w:r>
        <w:t>Turn the strongest report lessons into a five-email sequence that educates before recommending.</w:t>
      </w:r>
    </w:p>
    <w:p>
      <w:pPr>
        <w:spacing w:after="120" w:line="259" w:lineRule="auto"/>
      </w:pPr>
      <w:r>
        <w:t>Complete each field with campaign-specific details. The strongest expansions change the path, audience situation, or asset type without abandoning the original niche.</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Campaign-Specific Answer</w:t>
            </w:r>
          </w:p>
        </w:tc>
      </w:tr>
      <w:tr>
        <w:tc>
          <w:tcPr>
            <w:tcW w:type="dxa" w:w="5040"/>
          </w:tcPr>
          <w:p>
            <w:r/>
            <w:r>
              <w:rPr>
                <w:b w:val="0"/>
                <w:sz w:val="20"/>
              </w:rPr>
              <w:t>Report promise</w:t>
            </w:r>
          </w:p>
        </w:tc>
        <w:tc>
          <w:tcPr>
            <w:tcW w:type="dxa" w:w="5040"/>
          </w:tcPr>
          <w:p>
            <w:r/>
            <w:r>
              <w:rPr>
                <w:b w:val="0"/>
                <w:sz w:val="20"/>
              </w:rPr>
            </w:r>
          </w:p>
        </w:tc>
      </w:tr>
      <w:tr>
        <w:tc>
          <w:tcPr>
            <w:tcW w:type="dxa" w:w="5040"/>
          </w:tcPr>
          <w:p>
            <w:r/>
            <w:r>
              <w:rPr>
                <w:b w:val="0"/>
                <w:sz w:val="20"/>
              </w:rPr>
              <w:t>Email 1 pain point</w:t>
            </w:r>
          </w:p>
        </w:tc>
        <w:tc>
          <w:tcPr>
            <w:tcW w:type="dxa" w:w="5040"/>
          </w:tcPr>
          <w:p>
            <w:r/>
            <w:r>
              <w:rPr>
                <w:b w:val="0"/>
                <w:sz w:val="20"/>
              </w:rPr>
            </w:r>
          </w:p>
        </w:tc>
      </w:tr>
      <w:tr>
        <w:tc>
          <w:tcPr>
            <w:tcW w:type="dxa" w:w="5040"/>
          </w:tcPr>
          <w:p>
            <w:r/>
            <w:r>
              <w:rPr>
                <w:b w:val="0"/>
                <w:sz w:val="20"/>
              </w:rPr>
              <w:t>Email 2 mistake</w:t>
            </w:r>
          </w:p>
        </w:tc>
        <w:tc>
          <w:tcPr>
            <w:tcW w:type="dxa" w:w="5040"/>
          </w:tcPr>
          <w:p>
            <w:r/>
            <w:r>
              <w:rPr>
                <w:b w:val="0"/>
                <w:sz w:val="20"/>
              </w:rPr>
            </w:r>
          </w:p>
        </w:tc>
      </w:tr>
      <w:tr>
        <w:tc>
          <w:tcPr>
            <w:tcW w:type="dxa" w:w="5040"/>
          </w:tcPr>
          <w:p>
            <w:r/>
            <w:r>
              <w:rPr>
                <w:b w:val="0"/>
                <w:sz w:val="20"/>
              </w:rPr>
              <w:t>Email 3 lesson</w:t>
            </w:r>
          </w:p>
        </w:tc>
        <w:tc>
          <w:tcPr>
            <w:tcW w:type="dxa" w:w="5040"/>
          </w:tcPr>
          <w:p>
            <w:r/>
            <w:r>
              <w:rPr>
                <w:b w:val="0"/>
                <w:sz w:val="20"/>
              </w:rPr>
            </w:r>
          </w:p>
        </w:tc>
      </w:tr>
      <w:tr>
        <w:tc>
          <w:tcPr>
            <w:tcW w:type="dxa" w:w="5040"/>
          </w:tcPr>
          <w:p>
            <w:r/>
            <w:r>
              <w:rPr>
                <w:b w:val="0"/>
                <w:sz w:val="20"/>
              </w:rPr>
              <w:t>Email 4 product fit</w:t>
            </w:r>
          </w:p>
        </w:tc>
        <w:tc>
          <w:tcPr>
            <w:tcW w:type="dxa" w:w="5040"/>
          </w:tcPr>
          <w:p>
            <w:r/>
            <w:r>
              <w:rPr>
                <w:b w:val="0"/>
                <w:sz w:val="20"/>
              </w:rPr>
            </w:r>
          </w:p>
        </w:tc>
      </w:tr>
      <w:tr>
        <w:tc>
          <w:tcPr>
            <w:tcW w:type="dxa" w:w="5040"/>
          </w:tcPr>
          <w:p>
            <w:r/>
            <w:r>
              <w:rPr>
                <w:b w:val="0"/>
                <w:sz w:val="20"/>
              </w:rPr>
              <w:t>Email 5 final reminder</w:t>
            </w:r>
          </w:p>
        </w:tc>
        <w:tc>
          <w:tcPr>
            <w:tcW w:type="dxa" w:w="5040"/>
          </w:tcPr>
          <w:p>
            <w:r/>
            <w:r>
              <w:rPr>
                <w:b w:val="0"/>
                <w:sz w:val="20"/>
              </w:rPr>
            </w:r>
          </w:p>
        </w:tc>
      </w:tr>
      <w:tr>
        <w:tc>
          <w:tcPr>
            <w:tcW w:type="dxa" w:w="5040"/>
          </w:tcPr>
          <w:p>
            <w:r/>
            <w:r>
              <w:rPr>
                <w:b w:val="0"/>
                <w:sz w:val="20"/>
              </w:rPr>
              <w:t>Metric to review</w:t>
            </w:r>
          </w:p>
        </w:tc>
        <w:tc>
          <w:tcPr>
            <w:tcW w:type="dxa" w:w="5040"/>
          </w:tcPr>
          <w:p>
            <w:r/>
            <w:r>
              <w:rPr>
                <w:b w:val="0"/>
                <w:sz w:val="20"/>
              </w:rPr>
            </w:r>
          </w:p>
        </w:tc>
      </w:tr>
    </w:tbl>
    <w:p/>
    <w:p>
      <w:pPr>
        <w:pStyle w:val="Heading2"/>
      </w:pPr>
      <w:r>
        <w:t>Quality Check</w:t>
      </w:r>
    </w:p>
    <w:p>
      <w:pPr>
        <w:pStyle w:val="ListBullet"/>
      </w:pPr>
      <w:r>
        <w:rPr>
          <w:b/>
        </w:rPr>
        <w:t xml:space="preserve">Specific: </w:t>
      </w:r>
      <w:r>
        <w:t>This expansion should sound like a real campaign asset, not a renamed copy of the original report.</w:t>
      </w:r>
    </w:p>
    <w:p>
      <w:pPr>
        <w:pStyle w:val="ListBullet"/>
      </w:pPr>
      <w:r>
        <w:rPr>
          <w:b/>
        </w:rPr>
        <w:t xml:space="preserve">Connected: </w:t>
      </w:r>
      <w:r>
        <w:t>The new campaign should still connect logically to the original report audience and product ecosystem.</w:t>
      </w:r>
    </w:p>
    <w:p>
      <w:pPr>
        <w:pStyle w:val="Heading1"/>
      </w:pPr>
      <w:r>
        <w:t>Template 2: Report To Short-Form Campaign</w:t>
      </w:r>
    </w:p>
    <w:p>
      <w:pPr>
        <w:spacing w:after="120" w:line="259" w:lineRule="auto"/>
      </w:pPr>
      <w:r>
        <w:t>Turn report sections into hooks, scripts, captions, and opt-in CTAs for free promotion.</w:t>
      </w:r>
    </w:p>
    <w:p>
      <w:pPr>
        <w:spacing w:after="120" w:line="259" w:lineRule="auto"/>
      </w:pPr>
      <w:r>
        <w:t>Complete each field with campaign-specific details. The strongest expansions change the path, audience situation, or asset type without abandoning the original niche.</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Campaign-Specific Answer</w:t>
            </w:r>
          </w:p>
        </w:tc>
      </w:tr>
      <w:tr>
        <w:tc>
          <w:tcPr>
            <w:tcW w:type="dxa" w:w="5040"/>
          </w:tcPr>
          <w:p>
            <w:r/>
            <w:r>
              <w:rPr>
                <w:b w:val="0"/>
                <w:sz w:val="20"/>
              </w:rPr>
              <w:t>Core pain point</w:t>
            </w:r>
          </w:p>
        </w:tc>
        <w:tc>
          <w:tcPr>
            <w:tcW w:type="dxa" w:w="5040"/>
          </w:tcPr>
          <w:p>
            <w:r/>
            <w:r>
              <w:rPr>
                <w:b w:val="0"/>
                <w:sz w:val="20"/>
              </w:rPr>
            </w:r>
          </w:p>
        </w:tc>
      </w:tr>
      <w:tr>
        <w:tc>
          <w:tcPr>
            <w:tcW w:type="dxa" w:w="5040"/>
          </w:tcPr>
          <w:p>
            <w:r/>
            <w:r>
              <w:rPr>
                <w:b w:val="0"/>
                <w:sz w:val="20"/>
              </w:rPr>
              <w:t>Hook list</w:t>
            </w:r>
          </w:p>
        </w:tc>
        <w:tc>
          <w:tcPr>
            <w:tcW w:type="dxa" w:w="5040"/>
          </w:tcPr>
          <w:p>
            <w:r/>
            <w:r>
              <w:rPr>
                <w:b w:val="0"/>
                <w:sz w:val="20"/>
              </w:rPr>
            </w:r>
          </w:p>
        </w:tc>
      </w:tr>
      <w:tr>
        <w:tc>
          <w:tcPr>
            <w:tcW w:type="dxa" w:w="5040"/>
          </w:tcPr>
          <w:p>
            <w:r/>
            <w:r>
              <w:rPr>
                <w:b w:val="0"/>
                <w:sz w:val="20"/>
              </w:rPr>
              <w:t>Visual idea</w:t>
            </w:r>
          </w:p>
        </w:tc>
        <w:tc>
          <w:tcPr>
            <w:tcW w:type="dxa" w:w="5040"/>
          </w:tcPr>
          <w:p>
            <w:r/>
            <w:r>
              <w:rPr>
                <w:b w:val="0"/>
                <w:sz w:val="20"/>
              </w:rPr>
            </w:r>
          </w:p>
        </w:tc>
      </w:tr>
      <w:tr>
        <w:tc>
          <w:tcPr>
            <w:tcW w:type="dxa" w:w="5040"/>
          </w:tcPr>
          <w:p>
            <w:r/>
            <w:r>
              <w:rPr>
                <w:b w:val="0"/>
                <w:sz w:val="20"/>
              </w:rPr>
              <w:t>Script body</w:t>
            </w:r>
          </w:p>
        </w:tc>
        <w:tc>
          <w:tcPr>
            <w:tcW w:type="dxa" w:w="5040"/>
          </w:tcPr>
          <w:p>
            <w:r/>
            <w:r>
              <w:rPr>
                <w:b w:val="0"/>
                <w:sz w:val="20"/>
              </w:rPr>
            </w:r>
          </w:p>
        </w:tc>
      </w:tr>
      <w:tr>
        <w:tc>
          <w:tcPr>
            <w:tcW w:type="dxa" w:w="5040"/>
          </w:tcPr>
          <w:p>
            <w:r/>
            <w:r>
              <w:rPr>
                <w:b w:val="0"/>
                <w:sz w:val="20"/>
              </w:rPr>
              <w:t>Caption angle</w:t>
            </w:r>
          </w:p>
        </w:tc>
        <w:tc>
          <w:tcPr>
            <w:tcW w:type="dxa" w:w="5040"/>
          </w:tcPr>
          <w:p>
            <w:r/>
            <w:r>
              <w:rPr>
                <w:b w:val="0"/>
                <w:sz w:val="20"/>
              </w:rPr>
            </w:r>
          </w:p>
        </w:tc>
      </w:tr>
      <w:tr>
        <w:tc>
          <w:tcPr>
            <w:tcW w:type="dxa" w:w="5040"/>
          </w:tcPr>
          <w:p>
            <w:r/>
            <w:r>
              <w:rPr>
                <w:b w:val="0"/>
                <w:sz w:val="20"/>
              </w:rPr>
              <w:t>Opt-in CTA</w:t>
            </w:r>
          </w:p>
        </w:tc>
        <w:tc>
          <w:tcPr>
            <w:tcW w:type="dxa" w:w="5040"/>
          </w:tcPr>
          <w:p>
            <w:r/>
            <w:r>
              <w:rPr>
                <w:b w:val="0"/>
                <w:sz w:val="20"/>
              </w:rPr>
            </w:r>
          </w:p>
        </w:tc>
      </w:tr>
      <w:tr>
        <w:tc>
          <w:tcPr>
            <w:tcW w:type="dxa" w:w="5040"/>
          </w:tcPr>
          <w:p>
            <w:r/>
            <w:r>
              <w:rPr>
                <w:b w:val="0"/>
                <w:sz w:val="20"/>
              </w:rPr>
              <w:t>Comment prompt</w:t>
            </w:r>
          </w:p>
        </w:tc>
        <w:tc>
          <w:tcPr>
            <w:tcW w:type="dxa" w:w="5040"/>
          </w:tcPr>
          <w:p>
            <w:r/>
            <w:r>
              <w:rPr>
                <w:b w:val="0"/>
                <w:sz w:val="20"/>
              </w:rPr>
            </w:r>
          </w:p>
        </w:tc>
      </w:tr>
    </w:tbl>
    <w:p/>
    <w:p>
      <w:pPr>
        <w:pStyle w:val="Heading2"/>
      </w:pPr>
      <w:r>
        <w:t>Quality Check</w:t>
      </w:r>
    </w:p>
    <w:p>
      <w:pPr>
        <w:pStyle w:val="ListBullet"/>
      </w:pPr>
      <w:r>
        <w:rPr>
          <w:b/>
        </w:rPr>
        <w:t xml:space="preserve">Specific: </w:t>
      </w:r>
      <w:r>
        <w:t>This expansion should sound like a real campaign asset, not a renamed copy of the original report.</w:t>
      </w:r>
    </w:p>
    <w:p>
      <w:pPr>
        <w:pStyle w:val="ListBullet"/>
      </w:pPr>
      <w:r>
        <w:rPr>
          <w:b/>
        </w:rPr>
        <w:t xml:space="preserve">Connected: </w:t>
      </w:r>
      <w:r>
        <w:t>The new campaign should still connect logically to the original report audience and product ecosystem.</w:t>
      </w:r>
    </w:p>
    <w:p>
      <w:pPr>
        <w:pStyle w:val="Heading1"/>
      </w:pPr>
      <w:r>
        <w:t>Template 3: Report To Bridge Page Campaign</w:t>
      </w:r>
    </w:p>
    <w:p>
      <w:pPr>
        <w:spacing w:after="120" w:line="259" w:lineRule="auto"/>
      </w:pPr>
      <w:r>
        <w:t>Turn the report conclusion into a bridge page that frames the affiliate recommendation clearly.</w:t>
      </w:r>
    </w:p>
    <w:p>
      <w:pPr>
        <w:spacing w:after="120" w:line="259" w:lineRule="auto"/>
      </w:pPr>
      <w:r>
        <w:t>Complete each field with campaign-specific details. The strongest expansions change the path, audience situation, or asset type without abandoning the original niche.</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Campaign-Specific Answer</w:t>
            </w:r>
          </w:p>
        </w:tc>
      </w:tr>
      <w:tr>
        <w:tc>
          <w:tcPr>
            <w:tcW w:type="dxa" w:w="5040"/>
          </w:tcPr>
          <w:p>
            <w:r/>
            <w:r>
              <w:rPr>
                <w:b w:val="0"/>
                <w:sz w:val="20"/>
              </w:rPr>
              <w:t>Problem recap</w:t>
            </w:r>
          </w:p>
        </w:tc>
        <w:tc>
          <w:tcPr>
            <w:tcW w:type="dxa" w:w="5040"/>
          </w:tcPr>
          <w:p>
            <w:r/>
            <w:r>
              <w:rPr>
                <w:b w:val="0"/>
                <w:sz w:val="20"/>
              </w:rPr>
            </w:r>
          </w:p>
        </w:tc>
      </w:tr>
      <w:tr>
        <w:tc>
          <w:tcPr>
            <w:tcW w:type="dxa" w:w="5040"/>
          </w:tcPr>
          <w:p>
            <w:r/>
            <w:r>
              <w:rPr>
                <w:b w:val="0"/>
                <w:sz w:val="20"/>
              </w:rPr>
              <w:t>Main lesson</w:t>
            </w:r>
          </w:p>
        </w:tc>
        <w:tc>
          <w:tcPr>
            <w:tcW w:type="dxa" w:w="5040"/>
          </w:tcPr>
          <w:p>
            <w:r/>
            <w:r>
              <w:rPr>
                <w:b w:val="0"/>
                <w:sz w:val="20"/>
              </w:rPr>
            </w:r>
          </w:p>
        </w:tc>
      </w:tr>
      <w:tr>
        <w:tc>
          <w:tcPr>
            <w:tcW w:type="dxa" w:w="5040"/>
          </w:tcPr>
          <w:p>
            <w:r/>
            <w:r>
              <w:rPr>
                <w:b w:val="0"/>
                <w:sz w:val="20"/>
              </w:rPr>
              <w:t>Recommended next step</w:t>
            </w:r>
          </w:p>
        </w:tc>
        <w:tc>
          <w:tcPr>
            <w:tcW w:type="dxa" w:w="5040"/>
          </w:tcPr>
          <w:p>
            <w:r/>
            <w:r>
              <w:rPr>
                <w:b w:val="0"/>
                <w:sz w:val="20"/>
              </w:rPr>
            </w:r>
          </w:p>
        </w:tc>
      </w:tr>
      <w:tr>
        <w:tc>
          <w:tcPr>
            <w:tcW w:type="dxa" w:w="5040"/>
          </w:tcPr>
          <w:p>
            <w:r/>
            <w:r>
              <w:rPr>
                <w:b w:val="0"/>
                <w:sz w:val="20"/>
              </w:rPr>
              <w:t>Product-fit explanation</w:t>
            </w:r>
          </w:p>
        </w:tc>
        <w:tc>
          <w:tcPr>
            <w:tcW w:type="dxa" w:w="5040"/>
          </w:tcPr>
          <w:p>
            <w:r/>
            <w:r>
              <w:rPr>
                <w:b w:val="0"/>
                <w:sz w:val="20"/>
              </w:rPr>
            </w:r>
          </w:p>
        </w:tc>
      </w:tr>
      <w:tr>
        <w:tc>
          <w:tcPr>
            <w:tcW w:type="dxa" w:w="5040"/>
          </w:tcPr>
          <w:p>
            <w:r/>
            <w:r>
              <w:rPr>
                <w:b w:val="0"/>
                <w:sz w:val="20"/>
              </w:rPr>
              <w:t>Disclosure line</w:t>
            </w:r>
          </w:p>
        </w:tc>
        <w:tc>
          <w:tcPr>
            <w:tcW w:type="dxa" w:w="5040"/>
          </w:tcPr>
          <w:p>
            <w:r/>
            <w:r>
              <w:rPr>
                <w:b w:val="0"/>
                <w:sz w:val="20"/>
              </w:rPr>
            </w:r>
          </w:p>
        </w:tc>
      </w:tr>
      <w:tr>
        <w:tc>
          <w:tcPr>
            <w:tcW w:type="dxa" w:w="5040"/>
          </w:tcPr>
          <w:p>
            <w:r/>
            <w:r>
              <w:rPr>
                <w:b w:val="0"/>
                <w:sz w:val="20"/>
              </w:rPr>
              <w:t>CTA button text</w:t>
            </w:r>
          </w:p>
        </w:tc>
        <w:tc>
          <w:tcPr>
            <w:tcW w:type="dxa" w:w="5040"/>
          </w:tcPr>
          <w:p>
            <w:r/>
            <w:r>
              <w:rPr>
                <w:b w:val="0"/>
                <w:sz w:val="20"/>
              </w:rPr>
            </w:r>
          </w:p>
        </w:tc>
      </w:tr>
      <w:tr>
        <w:tc>
          <w:tcPr>
            <w:tcW w:type="dxa" w:w="5040"/>
          </w:tcPr>
          <w:p>
            <w:r/>
            <w:r>
              <w:rPr>
                <w:b w:val="0"/>
                <w:sz w:val="20"/>
              </w:rPr>
              <w:t>Follow-up reminder</w:t>
            </w:r>
          </w:p>
        </w:tc>
        <w:tc>
          <w:tcPr>
            <w:tcW w:type="dxa" w:w="5040"/>
          </w:tcPr>
          <w:p>
            <w:r/>
            <w:r>
              <w:rPr>
                <w:b w:val="0"/>
                <w:sz w:val="20"/>
              </w:rPr>
            </w:r>
          </w:p>
        </w:tc>
      </w:tr>
    </w:tbl>
    <w:p/>
    <w:p>
      <w:pPr>
        <w:pStyle w:val="Heading2"/>
      </w:pPr>
      <w:r>
        <w:t>Quality Check</w:t>
      </w:r>
    </w:p>
    <w:p>
      <w:pPr>
        <w:pStyle w:val="ListBullet"/>
      </w:pPr>
      <w:r>
        <w:rPr>
          <w:b/>
        </w:rPr>
        <w:t xml:space="preserve">Specific: </w:t>
      </w:r>
      <w:r>
        <w:t>This expansion should sound like a real campaign asset, not a renamed copy of the original report.</w:t>
      </w:r>
    </w:p>
    <w:p>
      <w:pPr>
        <w:pStyle w:val="ListBullet"/>
      </w:pPr>
      <w:r>
        <w:rPr>
          <w:b/>
        </w:rPr>
        <w:t xml:space="preserve">Connected: </w:t>
      </w:r>
      <w:r>
        <w:t>The new campaign should still connect logically to the original report audience and product ecosystem.</w:t>
      </w:r>
    </w:p>
    <w:p>
      <w:pPr>
        <w:pStyle w:val="Heading1"/>
      </w:pPr>
      <w:r>
        <w:t>Template 4: Report To Bonus Campaign</w:t>
      </w:r>
    </w:p>
    <w:p>
      <w:pPr>
        <w:spacing w:after="120" w:line="259" w:lineRule="auto"/>
      </w:pPr>
      <w:r>
        <w:t>Turn the report outcome into a bonus stack that supports buyers who purchase through your link.</w:t>
      </w:r>
    </w:p>
    <w:p>
      <w:pPr>
        <w:spacing w:after="120" w:line="259" w:lineRule="auto"/>
      </w:pPr>
      <w:r>
        <w:t>Complete each field with campaign-specific details. The strongest expansions change the path, audience situation, or asset type without abandoning the original niche.</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Campaign-Specific Answer</w:t>
            </w:r>
          </w:p>
        </w:tc>
      </w:tr>
      <w:tr>
        <w:tc>
          <w:tcPr>
            <w:tcW w:type="dxa" w:w="5040"/>
          </w:tcPr>
          <w:p>
            <w:r/>
            <w:r>
              <w:rPr>
                <w:b w:val="0"/>
                <w:sz w:val="20"/>
              </w:rPr>
              <w:t>Product being promoted</w:t>
            </w:r>
          </w:p>
        </w:tc>
        <w:tc>
          <w:tcPr>
            <w:tcW w:type="dxa" w:w="5040"/>
          </w:tcPr>
          <w:p>
            <w:r/>
            <w:r>
              <w:rPr>
                <w:b w:val="0"/>
                <w:sz w:val="20"/>
              </w:rPr>
            </w:r>
          </w:p>
        </w:tc>
      </w:tr>
      <w:tr>
        <w:tc>
          <w:tcPr>
            <w:tcW w:type="dxa" w:w="5040"/>
          </w:tcPr>
          <w:p>
            <w:r/>
            <w:r>
              <w:rPr>
                <w:b w:val="0"/>
                <w:sz w:val="20"/>
              </w:rPr>
              <w:t>Buyer hesitation</w:t>
            </w:r>
          </w:p>
        </w:tc>
        <w:tc>
          <w:tcPr>
            <w:tcW w:type="dxa" w:w="5040"/>
          </w:tcPr>
          <w:p>
            <w:r/>
            <w:r>
              <w:rPr>
                <w:b w:val="0"/>
                <w:sz w:val="20"/>
              </w:rPr>
            </w:r>
          </w:p>
        </w:tc>
      </w:tr>
      <w:tr>
        <w:tc>
          <w:tcPr>
            <w:tcW w:type="dxa" w:w="5040"/>
          </w:tcPr>
          <w:p>
            <w:r/>
            <w:r>
              <w:rPr>
                <w:b w:val="0"/>
                <w:sz w:val="20"/>
              </w:rPr>
              <w:t>Bonus promise</w:t>
            </w:r>
          </w:p>
        </w:tc>
        <w:tc>
          <w:tcPr>
            <w:tcW w:type="dxa" w:w="5040"/>
          </w:tcPr>
          <w:p>
            <w:r/>
            <w:r>
              <w:rPr>
                <w:b w:val="0"/>
                <w:sz w:val="20"/>
              </w:rPr>
            </w:r>
          </w:p>
        </w:tc>
      </w:tr>
      <w:tr>
        <w:tc>
          <w:tcPr>
            <w:tcW w:type="dxa" w:w="5040"/>
          </w:tcPr>
          <w:p>
            <w:r/>
            <w:r>
              <w:rPr>
                <w:b w:val="0"/>
                <w:sz w:val="20"/>
              </w:rPr>
              <w:t>Bonus delivery method</w:t>
            </w:r>
          </w:p>
        </w:tc>
        <w:tc>
          <w:tcPr>
            <w:tcW w:type="dxa" w:w="5040"/>
          </w:tcPr>
          <w:p>
            <w:r/>
            <w:r>
              <w:rPr>
                <w:b w:val="0"/>
                <w:sz w:val="20"/>
              </w:rPr>
            </w:r>
          </w:p>
        </w:tc>
      </w:tr>
      <w:tr>
        <w:tc>
          <w:tcPr>
            <w:tcW w:type="dxa" w:w="5040"/>
          </w:tcPr>
          <w:p>
            <w:r/>
            <w:r>
              <w:rPr>
                <w:b w:val="0"/>
                <w:sz w:val="20"/>
              </w:rPr>
              <w:t>Claim instructions</w:t>
            </w:r>
          </w:p>
        </w:tc>
        <w:tc>
          <w:tcPr>
            <w:tcW w:type="dxa" w:w="5040"/>
          </w:tcPr>
          <w:p>
            <w:r/>
            <w:r>
              <w:rPr>
                <w:b w:val="0"/>
                <w:sz w:val="20"/>
              </w:rPr>
            </w:r>
          </w:p>
        </w:tc>
      </w:tr>
      <w:tr>
        <w:tc>
          <w:tcPr>
            <w:tcW w:type="dxa" w:w="5040"/>
          </w:tcPr>
          <w:p>
            <w:r/>
            <w:r>
              <w:rPr>
                <w:b w:val="0"/>
                <w:sz w:val="20"/>
              </w:rPr>
              <w:t>Bonus deadline if real</w:t>
            </w:r>
          </w:p>
        </w:tc>
        <w:tc>
          <w:tcPr>
            <w:tcW w:type="dxa" w:w="5040"/>
          </w:tcPr>
          <w:p>
            <w:r/>
            <w:r>
              <w:rPr>
                <w:b w:val="0"/>
                <w:sz w:val="20"/>
              </w:rPr>
            </w:r>
          </w:p>
        </w:tc>
      </w:tr>
      <w:tr>
        <w:tc>
          <w:tcPr>
            <w:tcW w:type="dxa" w:w="5040"/>
          </w:tcPr>
          <w:p>
            <w:r/>
            <w:r>
              <w:rPr>
                <w:b w:val="0"/>
                <w:sz w:val="20"/>
              </w:rPr>
              <w:t>Trust-safe CTA</w:t>
            </w:r>
          </w:p>
        </w:tc>
        <w:tc>
          <w:tcPr>
            <w:tcW w:type="dxa" w:w="5040"/>
          </w:tcPr>
          <w:p>
            <w:r/>
            <w:r>
              <w:rPr>
                <w:b w:val="0"/>
                <w:sz w:val="20"/>
              </w:rPr>
            </w:r>
          </w:p>
        </w:tc>
      </w:tr>
    </w:tbl>
    <w:p/>
    <w:p>
      <w:pPr>
        <w:pStyle w:val="Heading2"/>
      </w:pPr>
      <w:r>
        <w:t>Quality Check</w:t>
      </w:r>
    </w:p>
    <w:p>
      <w:pPr>
        <w:pStyle w:val="ListBullet"/>
      </w:pPr>
      <w:r>
        <w:rPr>
          <w:b/>
        </w:rPr>
        <w:t xml:space="preserve">Specific: </w:t>
      </w:r>
      <w:r>
        <w:t>This expansion should sound like a real campaign asset, not a renamed copy of the original report.</w:t>
      </w:r>
    </w:p>
    <w:p>
      <w:pPr>
        <w:pStyle w:val="ListBullet"/>
      </w:pPr>
      <w:r>
        <w:rPr>
          <w:b/>
        </w:rPr>
        <w:t xml:space="preserve">Connected: </w:t>
      </w:r>
      <w:r>
        <w:t>The new campaign should still connect logically to the original report audience and product ecosystem.</w:t>
      </w:r>
    </w:p>
    <w:p>
      <w:pPr>
        <w:pStyle w:val="Heading1"/>
      </w:pPr>
      <w:r>
        <w:t>Template 5: Report To Second Campaign</w:t>
      </w:r>
    </w:p>
    <w:p>
      <w:pPr>
        <w:spacing w:after="120" w:line="259" w:lineRule="auto"/>
      </w:pPr>
      <w:r>
        <w:t>Turn the first campaign results into a new campaign branch with a different buyer problem.</w:t>
      </w:r>
    </w:p>
    <w:p>
      <w:pPr>
        <w:spacing w:after="120" w:line="259" w:lineRule="auto"/>
      </w:pPr>
      <w:r>
        <w:t>Complete each field with campaign-specific details. The strongest expansions change the path, audience situation, or asset type without abandoning the original niche.</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Campaign-Specific Answer</w:t>
            </w:r>
          </w:p>
        </w:tc>
      </w:tr>
      <w:tr>
        <w:tc>
          <w:tcPr>
            <w:tcW w:type="dxa" w:w="5040"/>
          </w:tcPr>
          <w:p>
            <w:r/>
            <w:r>
              <w:rPr>
                <w:b w:val="0"/>
                <w:sz w:val="20"/>
              </w:rPr>
              <w:t>Original campaign result</w:t>
            </w:r>
          </w:p>
        </w:tc>
        <w:tc>
          <w:tcPr>
            <w:tcW w:type="dxa" w:w="5040"/>
          </w:tcPr>
          <w:p>
            <w:r/>
            <w:r>
              <w:rPr>
                <w:b w:val="0"/>
                <w:sz w:val="20"/>
              </w:rPr>
            </w:r>
          </w:p>
        </w:tc>
      </w:tr>
      <w:tr>
        <w:tc>
          <w:tcPr>
            <w:tcW w:type="dxa" w:w="5040"/>
          </w:tcPr>
          <w:p>
            <w:r/>
            <w:r>
              <w:rPr>
                <w:b w:val="0"/>
                <w:sz w:val="20"/>
              </w:rPr>
              <w:t>Strongest reader reply</w:t>
            </w:r>
          </w:p>
        </w:tc>
        <w:tc>
          <w:tcPr>
            <w:tcW w:type="dxa" w:w="5040"/>
          </w:tcPr>
          <w:p>
            <w:r/>
            <w:r>
              <w:rPr>
                <w:b w:val="0"/>
                <w:sz w:val="20"/>
              </w:rPr>
            </w:r>
          </w:p>
        </w:tc>
      </w:tr>
      <w:tr>
        <w:tc>
          <w:tcPr>
            <w:tcW w:type="dxa" w:w="5040"/>
          </w:tcPr>
          <w:p>
            <w:r/>
            <w:r>
              <w:rPr>
                <w:b w:val="0"/>
                <w:sz w:val="20"/>
              </w:rPr>
              <w:t>New buyer problem</w:t>
            </w:r>
          </w:p>
        </w:tc>
        <w:tc>
          <w:tcPr>
            <w:tcW w:type="dxa" w:w="5040"/>
          </w:tcPr>
          <w:p>
            <w:r/>
            <w:r>
              <w:rPr>
                <w:b w:val="0"/>
                <w:sz w:val="20"/>
              </w:rPr>
            </w:r>
          </w:p>
        </w:tc>
      </w:tr>
      <w:tr>
        <w:tc>
          <w:tcPr>
            <w:tcW w:type="dxa" w:w="5040"/>
          </w:tcPr>
          <w:p>
            <w:r/>
            <w:r>
              <w:rPr>
                <w:b w:val="0"/>
                <w:sz w:val="20"/>
              </w:rPr>
              <w:t>New report angle</w:t>
            </w:r>
          </w:p>
        </w:tc>
        <w:tc>
          <w:tcPr>
            <w:tcW w:type="dxa" w:w="5040"/>
          </w:tcPr>
          <w:p>
            <w:r/>
            <w:r>
              <w:rPr>
                <w:b w:val="0"/>
                <w:sz w:val="20"/>
              </w:rPr>
            </w:r>
          </w:p>
        </w:tc>
      </w:tr>
      <w:tr>
        <w:tc>
          <w:tcPr>
            <w:tcW w:type="dxa" w:w="5040"/>
          </w:tcPr>
          <w:p>
            <w:r/>
            <w:r>
              <w:rPr>
                <w:b w:val="0"/>
                <w:sz w:val="20"/>
              </w:rPr>
              <w:t>New product category</w:t>
            </w:r>
          </w:p>
        </w:tc>
        <w:tc>
          <w:tcPr>
            <w:tcW w:type="dxa" w:w="5040"/>
          </w:tcPr>
          <w:p>
            <w:r/>
            <w:r>
              <w:rPr>
                <w:b w:val="0"/>
                <w:sz w:val="20"/>
              </w:rPr>
            </w:r>
          </w:p>
        </w:tc>
      </w:tr>
      <w:tr>
        <w:tc>
          <w:tcPr>
            <w:tcW w:type="dxa" w:w="5040"/>
          </w:tcPr>
          <w:p>
            <w:r/>
            <w:r>
              <w:rPr>
                <w:b w:val="0"/>
                <w:sz w:val="20"/>
              </w:rPr>
              <w:t>Promotion channel</w:t>
            </w:r>
          </w:p>
        </w:tc>
        <w:tc>
          <w:tcPr>
            <w:tcW w:type="dxa" w:w="5040"/>
          </w:tcPr>
          <w:p>
            <w:r/>
            <w:r>
              <w:rPr>
                <w:b w:val="0"/>
                <w:sz w:val="20"/>
              </w:rPr>
            </w:r>
          </w:p>
        </w:tc>
      </w:tr>
      <w:tr>
        <w:tc>
          <w:tcPr>
            <w:tcW w:type="dxa" w:w="5040"/>
          </w:tcPr>
          <w:p>
            <w:r/>
            <w:r>
              <w:rPr>
                <w:b w:val="0"/>
                <w:sz w:val="20"/>
              </w:rPr>
              <w:t>Test period</w:t>
            </w:r>
          </w:p>
        </w:tc>
        <w:tc>
          <w:tcPr>
            <w:tcW w:type="dxa" w:w="5040"/>
          </w:tcPr>
          <w:p>
            <w:r/>
            <w:r>
              <w:rPr>
                <w:b w:val="0"/>
                <w:sz w:val="20"/>
              </w:rPr>
            </w:r>
          </w:p>
        </w:tc>
      </w:tr>
    </w:tbl>
    <w:p/>
    <w:p>
      <w:pPr>
        <w:pStyle w:val="Heading2"/>
      </w:pPr>
      <w:r>
        <w:t>Quality Check</w:t>
      </w:r>
    </w:p>
    <w:p>
      <w:pPr>
        <w:pStyle w:val="ListBullet"/>
      </w:pPr>
      <w:r>
        <w:rPr>
          <w:b/>
        </w:rPr>
        <w:t xml:space="preserve">Specific: </w:t>
      </w:r>
      <w:r>
        <w:t>This expansion should sound like a real campaign asset, not a renamed copy of the original report.</w:t>
      </w:r>
    </w:p>
    <w:p>
      <w:pPr>
        <w:pStyle w:val="ListBullet"/>
      </w:pPr>
      <w:r>
        <w:rPr>
          <w:b/>
        </w:rPr>
        <w:t xml:space="preserve">Connected: </w:t>
      </w:r>
      <w:r>
        <w:t>The new campaign should still connect logically to the original report audience and product ecosystem.</w:t>
      </w:r>
    </w:p>
    <w:p>
      <w:pPr>
        <w:pStyle w:val="Heading1"/>
      </w:pPr>
      <w:r>
        <w:t>Expansion Guidance For Each Template</w:t>
      </w:r>
    </w:p>
    <w:p>
      <w:pPr>
        <w:pStyle w:val="Heading2"/>
      </w:pPr>
      <w:r>
        <w:t>Report To Email Campaign</w:t>
      </w:r>
    </w:p>
    <w:p>
      <w:pPr>
        <w:spacing w:after="120" w:line="259" w:lineRule="auto"/>
      </w:pPr>
      <w:r>
        <w:t>This expansion works when the reader needs repeated explanation before clicking the affiliate offer. Use the report as the first teaching asset, then let each email handle one objection or decision. Do not make every email a pitch. The best sequence moves from problem, to insight, to product fit, to action.</w:t>
      </w:r>
    </w:p>
    <w:p>
      <w:pPr>
        <w:pStyle w:val="ListBullet"/>
      </w:pPr>
      <w:r>
        <w:rPr>
          <w:b/>
        </w:rPr>
        <w:t xml:space="preserve">Best use: </w:t>
      </w:r>
      <w:r>
        <w:t>Use this expansion when it creates a different asset path or buyer decision point.</w:t>
      </w:r>
    </w:p>
    <w:p>
      <w:pPr>
        <w:pStyle w:val="ListBullet"/>
      </w:pPr>
      <w:r>
        <w:rPr>
          <w:b/>
        </w:rPr>
        <w:t xml:space="preserve">Weak use: </w:t>
      </w:r>
      <w:r>
        <w:t>Avoid using this expansion when it only repeats the same report promise in another format.</w:t>
      </w:r>
    </w:p>
    <w:p>
      <w:pPr>
        <w:pStyle w:val="Heading2"/>
      </w:pPr>
      <w:r>
        <w:t>Report To Short-Form Campaign</w:t>
      </w:r>
    </w:p>
    <w:p>
      <w:pPr>
        <w:spacing w:after="120" w:line="259" w:lineRule="auto"/>
      </w:pPr>
      <w:r>
        <w:t>This expansion works when the report contains clear mistakes, myths, shortcuts, or examples. Each short-form asset should sell the report problem, not the affiliate product too early. Use different hooks across videos so the campaign feels varied. Track comments because they often reveal the next angle.</w:t>
      </w:r>
    </w:p>
    <w:p>
      <w:pPr>
        <w:pStyle w:val="ListBullet"/>
      </w:pPr>
      <w:r>
        <w:rPr>
          <w:b/>
        </w:rPr>
        <w:t xml:space="preserve">Best use: </w:t>
      </w:r>
      <w:r>
        <w:t>Use this expansion when it creates a different asset path or buyer decision point.</w:t>
      </w:r>
    </w:p>
    <w:p>
      <w:pPr>
        <w:pStyle w:val="ListBullet"/>
      </w:pPr>
      <w:r>
        <w:rPr>
          <w:b/>
        </w:rPr>
        <w:t xml:space="preserve">Weak use: </w:t>
      </w:r>
      <w:r>
        <w:t>Avoid using this expansion when it only repeats the same report promise in another format.</w:t>
      </w:r>
    </w:p>
    <w:p>
      <w:pPr>
        <w:pStyle w:val="Heading2"/>
      </w:pPr>
      <w:r>
        <w:t>Report To Bridge Page Campaign</w:t>
      </w:r>
    </w:p>
    <w:p>
      <w:pPr>
        <w:spacing w:after="120" w:line="259" w:lineRule="auto"/>
      </w:pPr>
      <w:r>
        <w:t>This expansion works when affiliate clicks need more context before reaching the sales page. The bridge page should recap the report, explain the product fit, and give one clear CTA. Keep disclosure visible and natural. A bridge page should reduce confusion, not add another layer of hype.</w:t>
      </w:r>
    </w:p>
    <w:p>
      <w:pPr>
        <w:pStyle w:val="ListBullet"/>
      </w:pPr>
      <w:r>
        <w:rPr>
          <w:b/>
        </w:rPr>
        <w:t xml:space="preserve">Best use: </w:t>
      </w:r>
      <w:r>
        <w:t>Use this expansion when it creates a different asset path or buyer decision point.</w:t>
      </w:r>
    </w:p>
    <w:p>
      <w:pPr>
        <w:pStyle w:val="ListBullet"/>
      </w:pPr>
      <w:r>
        <w:rPr>
          <w:b/>
        </w:rPr>
        <w:t xml:space="preserve">Weak use: </w:t>
      </w:r>
      <w:r>
        <w:t>Avoid using this expansion when it only repeats the same report promise in another format.</w:t>
      </w:r>
    </w:p>
    <w:p>
      <w:pPr>
        <w:pStyle w:val="Heading2"/>
      </w:pPr>
      <w:r>
        <w:t>Report To Bonus Campaign</w:t>
      </w:r>
    </w:p>
    <w:p>
      <w:pPr>
        <w:spacing w:after="120" w:line="259" w:lineRule="auto"/>
      </w:pPr>
      <w:r>
        <w:t>This expansion works when the buyer needs a stronger reason to purchase through your link. The bonus should help with setup, speed, clarity, or implementation. Avoid bonuses that make unsupported promises or distract from the main product. Clear claim instructions matter as much as the bonus itself.</w:t>
      </w:r>
    </w:p>
    <w:p>
      <w:pPr>
        <w:pStyle w:val="ListBullet"/>
      </w:pPr>
      <w:r>
        <w:rPr>
          <w:b/>
        </w:rPr>
        <w:t xml:space="preserve">Best use: </w:t>
      </w:r>
      <w:r>
        <w:t>Use this expansion when it creates a different asset path or buyer decision point.</w:t>
      </w:r>
    </w:p>
    <w:p>
      <w:pPr>
        <w:pStyle w:val="ListBullet"/>
      </w:pPr>
      <w:r>
        <w:rPr>
          <w:b/>
        </w:rPr>
        <w:t xml:space="preserve">Weak use: </w:t>
      </w:r>
      <w:r>
        <w:t>Avoid using this expansion when it only repeats the same report promise in another format.</w:t>
      </w:r>
    </w:p>
    <w:p>
      <w:pPr>
        <w:pStyle w:val="Heading2"/>
      </w:pPr>
      <w:r>
        <w:t>Report To Second Campaign</w:t>
      </w:r>
    </w:p>
    <w:p>
      <w:pPr>
        <w:spacing w:after="120" w:line="259" w:lineRule="auto"/>
      </w:pPr>
      <w:r>
        <w:t>This expansion works when the first campaign reveals a new buyer problem. Use replies, clicks, and objections to choose the second campaign. Do not create a second campaign by copying the first headline. The new campaign should solve a related but clearly different problem.</w:t>
      </w:r>
    </w:p>
    <w:p>
      <w:pPr>
        <w:pStyle w:val="ListBullet"/>
      </w:pPr>
      <w:r>
        <w:rPr>
          <w:b/>
        </w:rPr>
        <w:t xml:space="preserve">Best use: </w:t>
      </w:r>
      <w:r>
        <w:t>Use this expansion when it creates a different asset path or buyer decision point.</w:t>
      </w:r>
    </w:p>
    <w:p>
      <w:pPr>
        <w:pStyle w:val="ListBullet"/>
      </w:pPr>
      <w:r>
        <w:rPr>
          <w:b/>
        </w:rPr>
        <w:t xml:space="preserve">Weak use: </w:t>
      </w:r>
      <w:r>
        <w:t>Avoid using this expansion when it only repeats the same report promise in another format.</w:t>
      </w:r>
    </w:p>
    <w:p>
      <w:pPr>
        <w:pStyle w:val="Heading1"/>
      </w:pPr>
      <w:r>
        <w:t>Final Expansion Review</w:t>
      </w:r>
    </w:p>
    <w:tbl>
      <w:tblPr>
        <w:tblStyle w:val="TableGrid"/>
        <w:tblW w:type="auto" w:w="0"/>
        <w:tblLook w:firstColumn="1" w:firstRow="1" w:lastColumn="0" w:lastRow="0" w:noHBand="0" w:noVBand="1" w:val="04A0"/>
      </w:tblPr>
      <w:tblGrid>
        <w:gridCol w:w="5040"/>
        <w:gridCol w:w="5040"/>
      </w:tblGrid>
      <w:tr>
        <w:tc>
          <w:tcPr>
            <w:tcW w:type="dxa" w:w="5040"/>
          </w:tcPr>
          <w:p>
            <w:r>
              <w:rPr>
                <w:b/>
              </w:rPr>
              <w:t>Review Question</w:t>
            </w:r>
          </w:p>
        </w:tc>
        <w:tc>
          <w:tcPr>
            <w:tcW w:type="dxa" w:w="5040"/>
          </w:tcPr>
          <w:p>
            <w:r>
              <w:rPr>
                <w:b/>
              </w:rPr>
              <w:t>Pass Standard</w:t>
            </w:r>
          </w:p>
        </w:tc>
      </w:tr>
      <w:tr>
        <w:tc>
          <w:tcPr>
            <w:tcW w:type="dxa" w:w="5040"/>
          </w:tcPr>
          <w:p>
            <w:r>
              <w:t>Does this expansion solve a different buyer problem?</w:t>
            </w:r>
          </w:p>
        </w:tc>
        <w:tc>
          <w:tcPr>
            <w:tcW w:type="dxa" w:w="5040"/>
          </w:tcPr>
          <w:p>
            <w:r>
              <w:t>Yes, the reader motivation is clearly different.</w:t>
            </w:r>
          </w:p>
        </w:tc>
      </w:tr>
      <w:tr>
        <w:tc>
          <w:tcPr>
            <w:tcW w:type="dxa" w:w="5040"/>
          </w:tcPr>
          <w:p>
            <w:r>
              <w:t>Does it need a different product angle?</w:t>
            </w:r>
          </w:p>
        </w:tc>
        <w:tc>
          <w:tcPr>
            <w:tcW w:type="dxa" w:w="5040"/>
          </w:tcPr>
          <w:p>
            <w:r>
              <w:t>Yes, the offer fit or product framing changes.</w:t>
            </w:r>
          </w:p>
        </w:tc>
      </w:tr>
      <w:tr>
        <w:tc>
          <w:tcPr>
            <w:tcW w:type="dxa" w:w="5040"/>
          </w:tcPr>
          <w:p>
            <w:r>
              <w:t>Does it create different assets?</w:t>
            </w:r>
          </w:p>
        </w:tc>
        <w:tc>
          <w:tcPr>
            <w:tcW w:type="dxa" w:w="5040"/>
          </w:tcPr>
          <w:p>
            <w:r>
              <w:t>Yes, the campaign requires new emails, posts, pages, or bonuses.</w:t>
            </w:r>
          </w:p>
        </w:tc>
      </w:tr>
      <w:tr>
        <w:tc>
          <w:tcPr>
            <w:tcW w:type="dxa" w:w="5040"/>
          </w:tcPr>
          <w:p>
            <w:r>
              <w:t>Can it be tracked separately?</w:t>
            </w:r>
          </w:p>
        </w:tc>
        <w:tc>
          <w:tcPr>
            <w:tcW w:type="dxa" w:w="5040"/>
          </w:tcPr>
          <w:p>
            <w:r>
              <w:t>Yes, the campaign has its own links and results file.</w:t>
            </w:r>
          </w:p>
        </w:tc>
      </w:tr>
      <w:tr>
        <w:tc>
          <w:tcPr>
            <w:tcW w:type="dxa" w:w="5040"/>
          </w:tcPr>
          <w:p>
            <w:r>
              <w:t>Would a buyer see fresh value?</w:t>
            </w:r>
          </w:p>
        </w:tc>
        <w:tc>
          <w:tcPr>
            <w:tcW w:type="dxa" w:w="5040"/>
          </w:tcPr>
          <w:p>
            <w:r>
              <w:t>Yes, it feels like a new campaign path, not padding.</w:t>
            </w:r>
          </w:p>
        </w:tc>
      </w:tr>
    </w:tbl>
    <w:p/>
    <w:p>
      <w:pPr>
        <w:pStyle w:val="Heading1"/>
      </w:pPr>
      <w:r>
        <w:t>Completed Mini Examples</w:t>
      </w:r>
    </w:p>
    <w:p>
      <w:pPr>
        <w:pStyle w:val="Heading2"/>
      </w:pPr>
      <w:r>
        <w:t>Email Campaign Example</w:t>
      </w:r>
    </w:p>
    <w:p>
      <w:pPr>
        <w:spacing w:after="120" w:line="259" w:lineRule="auto"/>
      </w:pPr>
      <w:r>
        <w:t>Original report topic: choosing an affiliate product that fits. Email 1 teaches the danger of chasing commission first. Email 2 explains product-fit checks. Email 3 shows how reviews reveal objections. Email 4 recommends the research tool. Email 5 asks the reader to choose one product and build one campaign.</w:t>
      </w:r>
    </w:p>
    <w:p>
      <w:pPr>
        <w:pStyle w:val="ListBullet"/>
      </w:pPr>
      <w:r>
        <w:rPr>
          <w:b/>
        </w:rPr>
        <w:t xml:space="preserve">Why this is fresh: </w:t>
      </w:r>
      <w:r>
        <w:t>The campaign changes the asset path, buyer question, or product role.</w:t>
      </w:r>
    </w:p>
    <w:p>
      <w:pPr>
        <w:pStyle w:val="ListBullet"/>
      </w:pPr>
      <w:r>
        <w:rPr>
          <w:b/>
        </w:rPr>
        <w:t xml:space="preserve">What to track: </w:t>
      </w:r>
      <w:r>
        <w:t>Measure the result separately so the branch can be improved without confusing the original campaign.</w:t>
      </w:r>
    </w:p>
    <w:p>
      <w:pPr>
        <w:pStyle w:val="Heading2"/>
      </w:pPr>
      <w:r>
        <w:t>Short-Form Campaign Example</w:t>
      </w:r>
    </w:p>
    <w:p>
      <w:pPr>
        <w:spacing w:after="120" w:line="259" w:lineRule="auto"/>
      </w:pPr>
      <w:r>
        <w:t>Original report topic: affiliate link placement. Video 1 covers links appearing too early. Video 2 shows why context matters. Video 3 explains disclosure before recommendation. Video 4 shows a report section with natural placement. Video 5 invites viewers to download the checklist.</w:t>
      </w:r>
    </w:p>
    <w:p>
      <w:pPr>
        <w:pStyle w:val="ListBullet"/>
      </w:pPr>
      <w:r>
        <w:rPr>
          <w:b/>
        </w:rPr>
        <w:t xml:space="preserve">Why this is fresh: </w:t>
      </w:r>
      <w:r>
        <w:t>The campaign changes the asset path, buyer question, or product role.</w:t>
      </w:r>
    </w:p>
    <w:p>
      <w:pPr>
        <w:pStyle w:val="ListBullet"/>
      </w:pPr>
      <w:r>
        <w:rPr>
          <w:b/>
        </w:rPr>
        <w:t xml:space="preserve">What to track: </w:t>
      </w:r>
      <w:r>
        <w:t>Measure the result separately so the branch can be improved without confusing the original campaign.</w:t>
      </w:r>
    </w:p>
    <w:p>
      <w:pPr>
        <w:pStyle w:val="Heading2"/>
      </w:pPr>
      <w:r>
        <w:t>Bridge Page Example</w:t>
      </w:r>
    </w:p>
    <w:p>
      <w:pPr>
        <w:spacing w:after="120" w:line="259" w:lineRule="auto"/>
      </w:pPr>
      <w:r>
        <w:t>Original report topic: building trust before pitching. The bridge page opens with the reader problem, summarizes the report lesson, explains why the tool fits, adds disclosure, and gives one CTA. The page does not need long hype because the report already created context.</w:t>
      </w:r>
    </w:p>
    <w:p>
      <w:pPr>
        <w:pStyle w:val="ListBullet"/>
      </w:pPr>
      <w:r>
        <w:rPr>
          <w:b/>
        </w:rPr>
        <w:t xml:space="preserve">Why this is fresh: </w:t>
      </w:r>
      <w:r>
        <w:t>The campaign changes the asset path, buyer question, or product role.</w:t>
      </w:r>
    </w:p>
    <w:p>
      <w:pPr>
        <w:pStyle w:val="ListBullet"/>
      </w:pPr>
      <w:r>
        <w:rPr>
          <w:b/>
        </w:rPr>
        <w:t xml:space="preserve">What to track: </w:t>
      </w:r>
      <w:r>
        <w:t>Measure the result separately so the branch can be improved without confusing the original campaign.</w:t>
      </w:r>
    </w:p>
    <w:p>
      <w:pPr>
        <w:pStyle w:val="Heading2"/>
      </w:pPr>
      <w:r>
        <w:t>Bonus Campaign Example</w:t>
      </w:r>
    </w:p>
    <w:p>
      <w:pPr>
        <w:spacing w:after="120" w:line="259" w:lineRule="auto"/>
      </w:pPr>
      <w:r>
        <w:t>Original report topic: short-form promotion for affiliate reports. The bonus could be a seven-day hook sheet that helps buyers promote faster. The claim page explains who qualifies, what they get, and how to access it. The bonus supports implementation rather than making unrealistic result promises.</w:t>
      </w:r>
    </w:p>
    <w:p>
      <w:pPr>
        <w:pStyle w:val="ListBullet"/>
      </w:pPr>
      <w:r>
        <w:rPr>
          <w:b/>
        </w:rPr>
        <w:t xml:space="preserve">Why this is fresh: </w:t>
      </w:r>
      <w:r>
        <w:t>The campaign changes the asset path, buyer question, or product role.</w:t>
      </w:r>
    </w:p>
    <w:p>
      <w:pPr>
        <w:pStyle w:val="ListBullet"/>
      </w:pPr>
      <w:r>
        <w:rPr>
          <w:b/>
        </w:rPr>
        <w:t xml:space="preserve">What to track: </w:t>
      </w:r>
      <w:r>
        <w:t>Measure the result separately so the branch can be improved without confusing the original campaign.</w:t>
      </w:r>
    </w:p>
    <w:p>
      <w:pPr>
        <w:pStyle w:val="Heading2"/>
      </w:pPr>
      <w:r>
        <w:t>Second Campaign Example</w:t>
      </w:r>
    </w:p>
    <w:p>
      <w:pPr>
        <w:spacing w:after="120" w:line="259" w:lineRule="auto"/>
      </w:pPr>
      <w:r>
        <w:t>Original campaign result: people downloaded the report but asked about emails. The second campaign becomes a welcome sequence report. The product category shifts from report planning to email marketing. The campaign stays connected because the audience already showed follow-up confusion.</w:t>
      </w:r>
    </w:p>
    <w:p>
      <w:pPr>
        <w:pStyle w:val="ListBullet"/>
      </w:pPr>
      <w:r>
        <w:rPr>
          <w:b/>
        </w:rPr>
        <w:t xml:space="preserve">Why this is fresh: </w:t>
      </w:r>
      <w:r>
        <w:t>The campaign changes the asset path, buyer question, or product role.</w:t>
      </w:r>
    </w:p>
    <w:p>
      <w:pPr>
        <w:pStyle w:val="ListBullet"/>
      </w:pPr>
      <w:r>
        <w:rPr>
          <w:b/>
        </w:rPr>
        <w:t xml:space="preserve">What to track: </w:t>
      </w:r>
      <w:r>
        <w:t>Measure the result separately so the branch can be improved without confusing the original campaign.</w:t>
      </w:r>
    </w:p>
    <w:p>
      <w:pPr>
        <w:pStyle w:val="Heading1"/>
      </w:pPr>
      <w:r>
        <w:t>Expansion Mistakes To Avoid</w:t>
      </w:r>
    </w:p>
    <w:p>
      <w:pPr>
        <w:pStyle w:val="ListBullet"/>
      </w:pPr>
      <w:r>
        <w:rPr>
          <w:b/>
        </w:rPr>
        <w:t xml:space="preserve">Avoid: </w:t>
      </w:r>
      <w:r>
        <w:t>Do not create five campaigns that all recommend the same product with the same reasoning.</w:t>
      </w:r>
    </w:p>
    <w:p>
      <w:pPr>
        <w:pStyle w:val="ListBullet"/>
      </w:pPr>
      <w:r>
        <w:rPr>
          <w:b/>
        </w:rPr>
        <w:t xml:space="preserve">Avoid: </w:t>
      </w:r>
      <w:r>
        <w:t>Do not turn one report into several assets unless each asset has a different job.</w:t>
      </w:r>
    </w:p>
    <w:p>
      <w:pPr>
        <w:pStyle w:val="ListBullet"/>
      </w:pPr>
      <w:r>
        <w:rPr>
          <w:b/>
        </w:rPr>
        <w:t xml:space="preserve">Avoid: </w:t>
      </w:r>
      <w:r>
        <w:t>Do not scale based on excitement when reader behavior gives no useful signal.</w:t>
      </w:r>
    </w:p>
    <w:p>
      <w:pPr>
        <w:pStyle w:val="ListBullet"/>
      </w:pPr>
      <w:r>
        <w:rPr>
          <w:b/>
        </w:rPr>
        <w:t xml:space="preserve">Avoid: </w:t>
      </w:r>
      <w:r>
        <w:t>Do not copy the same CTA across every campaign without matching the buyer stage.</w:t>
      </w:r>
    </w:p>
    <w:p>
      <w:pPr>
        <w:pStyle w:val="ListBullet"/>
      </w:pPr>
      <w:r>
        <w:rPr>
          <w:b/>
        </w:rPr>
        <w:t xml:space="preserve">Avoid: </w:t>
      </w:r>
      <w:r>
        <w:t>Do not combine tracking for several campaigns because the results become impossible to read.</w:t>
      </w:r>
    </w:p>
    <w:p>
      <w:pPr>
        <w:pStyle w:val="Heading1"/>
      </w:pPr>
      <w:r>
        <w:t>Build Instructions For Each Expansion</w:t>
      </w:r>
    </w:p>
    <w:p>
      <w:pPr>
        <w:pStyle w:val="Heading2"/>
      </w:pPr>
      <w:r>
        <w:t>Email expansion build</w:t>
      </w:r>
    </w:p>
    <w:p>
      <w:pPr>
        <w:spacing w:after="120" w:line="259" w:lineRule="auto"/>
      </w:pPr>
      <w:r>
        <w:t>Start by pulling five lessons from the report. Assign one lesson to each email and connect it to a buyer decision. Add the product recommendation only after the reader understands the missing piece. Review the sequence for movement, because every email should move the reader closer to action.</w:t>
      </w:r>
    </w:p>
    <w:p>
      <w:pPr>
        <w:pStyle w:val="ListBullet"/>
      </w:pPr>
      <w:r>
        <w:rPr>
          <w:b/>
        </w:rPr>
        <w:t xml:space="preserve">Output: </w:t>
      </w:r>
      <w:r>
        <w:t>Create a separate asset package so the expansion can be launched and tracked independently.</w:t>
      </w:r>
    </w:p>
    <w:p>
      <w:pPr>
        <w:pStyle w:val="ListBullet"/>
      </w:pPr>
      <w:r>
        <w:rPr>
          <w:b/>
        </w:rPr>
        <w:t xml:space="preserve">Review: </w:t>
      </w:r>
      <w:r>
        <w:t>Check whether the expansion creates fresh value before adding it to the campaign folder.</w:t>
      </w:r>
    </w:p>
    <w:p>
      <w:pPr>
        <w:pStyle w:val="Heading2"/>
      </w:pPr>
      <w:r>
        <w:t>Short-form expansion build</w:t>
      </w:r>
    </w:p>
    <w:p>
      <w:pPr>
        <w:spacing w:after="120" w:line="259" w:lineRule="auto"/>
      </w:pPr>
      <w:r>
        <w:t>Start by finding report sentences that identify mistakes, myths, fears, or shortcuts. Turn each one into a hook before writing scripts. Keep each video tied to the opt-in report, not the product link. Use comments and saves to decide which hook deserves a longer campaign.</w:t>
      </w:r>
    </w:p>
    <w:p>
      <w:pPr>
        <w:pStyle w:val="ListBullet"/>
      </w:pPr>
      <w:r>
        <w:rPr>
          <w:b/>
        </w:rPr>
        <w:t xml:space="preserve">Output: </w:t>
      </w:r>
      <w:r>
        <w:t>Create a separate asset package so the expansion can be launched and tracked independently.</w:t>
      </w:r>
    </w:p>
    <w:p>
      <w:pPr>
        <w:pStyle w:val="ListBullet"/>
      </w:pPr>
      <w:r>
        <w:rPr>
          <w:b/>
        </w:rPr>
        <w:t xml:space="preserve">Review: </w:t>
      </w:r>
      <w:r>
        <w:t>Check whether the expansion creates fresh value before adding it to the campaign folder.</w:t>
      </w:r>
    </w:p>
    <w:p>
      <w:pPr>
        <w:pStyle w:val="Heading2"/>
      </w:pPr>
      <w:r>
        <w:t>Bridge page expansion build</w:t>
      </w:r>
    </w:p>
    <w:p>
      <w:pPr>
        <w:spacing w:after="120" w:line="259" w:lineRule="auto"/>
      </w:pPr>
      <w:r>
        <w:t>Start with the report conclusion and write a short problem recap. Add three bullet points showing what the reader learned. Then explain why the product helps with the next step. Finish with a clear disclosure and one CTA, so the page stays simple.</w:t>
      </w:r>
    </w:p>
    <w:p>
      <w:pPr>
        <w:pStyle w:val="ListBullet"/>
      </w:pPr>
      <w:r>
        <w:rPr>
          <w:b/>
        </w:rPr>
        <w:t xml:space="preserve">Output: </w:t>
      </w:r>
      <w:r>
        <w:t>Create a separate asset package so the expansion can be launched and tracked independently.</w:t>
      </w:r>
    </w:p>
    <w:p>
      <w:pPr>
        <w:pStyle w:val="ListBullet"/>
      </w:pPr>
      <w:r>
        <w:rPr>
          <w:b/>
        </w:rPr>
        <w:t xml:space="preserve">Review: </w:t>
      </w:r>
      <w:r>
        <w:t>Check whether the expansion creates fresh value before adding it to the campaign folder.</w:t>
      </w:r>
    </w:p>
    <w:p>
      <w:pPr>
        <w:pStyle w:val="Heading2"/>
      </w:pPr>
      <w:r>
        <w:t>Bonus expansion build</w:t>
      </w:r>
    </w:p>
    <w:p>
      <w:pPr>
        <w:spacing w:after="120" w:line="259" w:lineRule="auto"/>
      </w:pPr>
      <w:r>
        <w:t>Start by listing what a buyer must do after purchasing the affiliate product. Create a bonus that helps with that next step. Write claim instructions before promotion begins. This keeps the bonus realistic and prevents vague promise-driven selling.</w:t>
      </w:r>
    </w:p>
    <w:p>
      <w:pPr>
        <w:pStyle w:val="ListBullet"/>
      </w:pPr>
      <w:r>
        <w:rPr>
          <w:b/>
        </w:rPr>
        <w:t xml:space="preserve">Output: </w:t>
      </w:r>
      <w:r>
        <w:t>Create a separate asset package so the expansion can be launched and tracked independently.</w:t>
      </w:r>
    </w:p>
    <w:p>
      <w:pPr>
        <w:pStyle w:val="ListBullet"/>
      </w:pPr>
      <w:r>
        <w:rPr>
          <w:b/>
        </w:rPr>
        <w:t xml:space="preserve">Review: </w:t>
      </w:r>
      <w:r>
        <w:t>Check whether the expansion creates fresh value before adding it to the campaign folder.</w:t>
      </w:r>
    </w:p>
    <w:p>
      <w:pPr>
        <w:pStyle w:val="Heading2"/>
      </w:pPr>
      <w:r>
        <w:t>Second campaign build</w:t>
      </w:r>
    </w:p>
    <w:p>
      <w:pPr>
        <w:spacing w:after="120" w:line="259" w:lineRule="auto"/>
      </w:pPr>
      <w:r>
        <w:t>Start by reviewing comments, replies, clicks, and weak points from the first campaign. Choose one repeated question as the second campaign problem. Build a new report promise around that question. Match a product category that supports the new problem, not the old headline.</w:t>
      </w:r>
    </w:p>
    <w:p>
      <w:pPr>
        <w:pStyle w:val="ListBullet"/>
      </w:pPr>
      <w:r>
        <w:rPr>
          <w:b/>
        </w:rPr>
        <w:t xml:space="preserve">Output: </w:t>
      </w:r>
      <w:r>
        <w:t>Create a separate asset package so the expansion can be launched and tracked independently.</w:t>
      </w:r>
    </w:p>
    <w:p>
      <w:pPr>
        <w:pStyle w:val="ListBullet"/>
      </w:pPr>
      <w:r>
        <w:rPr>
          <w:b/>
        </w:rPr>
        <w:t xml:space="preserve">Review: </w:t>
      </w:r>
      <w:r>
        <w:t>Check whether the expansion creates fresh value before adding it to the campaign folder.</w:t>
      </w:r>
    </w:p>
    <w:p>
      <w:pPr>
        <w:pStyle w:val="Heading1"/>
      </w:pPr>
      <w:r>
        <w:t>Expansion Completion Checklist</w:t>
      </w:r>
    </w:p>
    <w:p>
      <w:pPr>
        <w:pStyle w:val="ListBullet"/>
      </w:pPr>
      <w:r>
        <w:rPr>
          <w:b/>
        </w:rPr>
        <w:t xml:space="preserve">Complete when: </w:t>
      </w:r>
      <w:r>
        <w:t>The expansion has its own asset folder and tracking link.</w:t>
      </w:r>
    </w:p>
    <w:p>
      <w:pPr>
        <w:pStyle w:val="ListBullet"/>
      </w:pPr>
      <w:r>
        <w:rPr>
          <w:b/>
        </w:rPr>
        <w:t xml:space="preserve">Complete when: </w:t>
      </w:r>
      <w:r>
        <w:t>The campaign promise is different enough to sell as a new path.</w:t>
      </w:r>
    </w:p>
    <w:p>
      <w:pPr>
        <w:pStyle w:val="ListBullet"/>
      </w:pPr>
      <w:r>
        <w:rPr>
          <w:b/>
        </w:rPr>
        <w:t xml:space="preserve">Complete when: </w:t>
      </w:r>
      <w:r>
        <w:t>The product recommendation fits the new buyer decision.</w:t>
      </w:r>
    </w:p>
    <w:p>
      <w:pPr>
        <w:pStyle w:val="ListBullet"/>
      </w:pPr>
      <w:r>
        <w:rPr>
          <w:b/>
        </w:rPr>
        <w:t xml:space="preserve">Complete when: </w:t>
      </w:r>
      <w:r>
        <w:t>The first promotional asset is written before the expansion is marked ready.</w:t>
      </w:r>
    </w:p>
    <w:p>
      <w:pPr>
        <w:pStyle w:val="ListBullet"/>
      </w:pPr>
      <w:r>
        <w:rPr>
          <w:b/>
        </w:rPr>
        <w:t xml:space="preserve">Complete when: </w:t>
      </w:r>
      <w:r>
        <w:t>The expansion has a review date after launch week.</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