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Display" w:hAnsi="Aptos Display"/>
          <w:b/>
          <w:sz w:val="42"/>
        </w:rPr>
        <w:t>Fast Product Research Checklist</w:t>
      </w:r>
    </w:p>
    <w:p>
      <w:pPr>
        <w:jc w:val="center"/>
      </w:pPr>
      <w:r>
        <w:rPr>
          <w:i/>
          <w:sz w:val="22"/>
        </w:rPr>
        <w:t>A campaign-focused product research checklist for affiliate multipliers</w:t>
      </w:r>
    </w:p>
    <w:p/>
    <w:p>
      <w:pPr>
        <w:spacing w:after="120" w:line="259" w:lineRule="auto"/>
      </w:pPr>
      <w:r>
        <w:t>Use this checklist before assigning a product to a new campaign branch. The goal is to protect trust while choosing offers that truly fit the report promise.</w:t>
      </w:r>
    </w:p>
    <w:p>
      <w:pPr>
        <w:pStyle w:val="Heading1"/>
      </w:pPr>
      <w:r>
        <w:t>Problem Fit Checks</w:t>
      </w:r>
    </w:p>
    <w:p>
      <w:pPr>
        <w:pStyle w:val="ListBullet"/>
      </w:pPr>
      <w:r>
        <w:rPr>
          <w:b/>
        </w:rPr>
        <w:t xml:space="preserve">Check: </w:t>
      </w:r>
      <w:r>
        <w:t>The product solves the same problem the report explains.</w:t>
      </w:r>
    </w:p>
    <w:p>
      <w:pPr>
        <w:pStyle w:val="ListBullet"/>
      </w:pPr>
      <w:r>
        <w:rPr>
          <w:b/>
        </w:rPr>
        <w:t xml:space="preserve">Check: </w:t>
      </w:r>
      <w:r>
        <w:t>The product does not require skills the reader clearly does not have yet.</w:t>
      </w:r>
    </w:p>
    <w:p>
      <w:pPr>
        <w:pStyle w:val="ListBullet"/>
      </w:pPr>
      <w:r>
        <w:rPr>
          <w:b/>
        </w:rPr>
        <w:t xml:space="preserve">Check: </w:t>
      </w:r>
      <w:r>
        <w:t>The product supports the next step instead of replacing the report lesson.</w:t>
      </w:r>
    </w:p>
    <w:p>
      <w:pPr>
        <w:pStyle w:val="ListBullet"/>
      </w:pPr>
      <w:r>
        <w:rPr>
          <w:b/>
        </w:rPr>
        <w:t xml:space="preserve">Check: </w:t>
      </w:r>
      <w:r>
        <w:t>The offer category matches the campaign promise in plain language.</w:t>
      </w:r>
    </w:p>
    <w:p>
      <w:pPr>
        <w:pStyle w:val="Heading1"/>
      </w:pPr>
      <w:r>
        <w:t>Trust Signal Checks</w:t>
      </w:r>
    </w:p>
    <w:p>
      <w:pPr>
        <w:pStyle w:val="ListBullet"/>
      </w:pPr>
      <w:r>
        <w:rPr>
          <w:b/>
        </w:rPr>
        <w:t xml:space="preserve">Check: </w:t>
      </w:r>
      <w:r>
        <w:t>The sales page explains the product clearly without relying only on hype.</w:t>
      </w:r>
    </w:p>
    <w:p>
      <w:pPr>
        <w:pStyle w:val="ListBullet"/>
      </w:pPr>
      <w:r>
        <w:rPr>
          <w:b/>
        </w:rPr>
        <w:t xml:space="preserve">Check: </w:t>
      </w:r>
      <w:r>
        <w:t>The creator or vendor provides enough proof, samples, screenshots, or demonstrations.</w:t>
      </w:r>
    </w:p>
    <w:p>
      <w:pPr>
        <w:pStyle w:val="ListBullet"/>
      </w:pPr>
      <w:r>
        <w:rPr>
          <w:b/>
        </w:rPr>
        <w:t xml:space="preserve">Check: </w:t>
      </w:r>
      <w:r>
        <w:t>Refund policy, support access, or contact details are easy to find.</w:t>
      </w:r>
    </w:p>
    <w:p>
      <w:pPr>
        <w:pStyle w:val="ListBullet"/>
      </w:pPr>
      <w:r>
        <w:rPr>
          <w:b/>
        </w:rPr>
        <w:t xml:space="preserve">Check: </w:t>
      </w:r>
      <w:r>
        <w:t>Public reviews or marketplace data do not show repeated unresolved complaints.</w:t>
      </w:r>
    </w:p>
    <w:p>
      <w:pPr>
        <w:pStyle w:val="Heading1"/>
      </w:pPr>
      <w:r>
        <w:t>Commission And Terms Checks</w:t>
      </w:r>
    </w:p>
    <w:p>
      <w:pPr>
        <w:pStyle w:val="ListBullet"/>
      </w:pPr>
      <w:r>
        <w:rPr>
          <w:b/>
        </w:rPr>
        <w:t xml:space="preserve">Check: </w:t>
      </w:r>
      <w:r>
        <w:t>The commission rate makes sense, but it is not the only reason for selection.</w:t>
      </w:r>
    </w:p>
    <w:p>
      <w:pPr>
        <w:pStyle w:val="ListBullet"/>
      </w:pPr>
      <w:r>
        <w:rPr>
          <w:b/>
        </w:rPr>
        <w:t xml:space="preserve">Check: </w:t>
      </w:r>
      <w:r>
        <w:t>Affiliate rules allow the traffic and content methods used in your campaign.</w:t>
      </w:r>
    </w:p>
    <w:p>
      <w:pPr>
        <w:pStyle w:val="ListBullet"/>
      </w:pPr>
      <w:r>
        <w:rPr>
          <w:b/>
        </w:rPr>
        <w:t xml:space="preserve">Check: </w:t>
      </w:r>
      <w:r>
        <w:t>Cookie duration, payout timing, and restricted claims are understood before promotion.</w:t>
      </w:r>
    </w:p>
    <w:p>
      <w:pPr>
        <w:pStyle w:val="ListBullet"/>
      </w:pPr>
      <w:r>
        <w:rPr>
          <w:b/>
        </w:rPr>
        <w:t xml:space="preserve">Check: </w:t>
      </w:r>
      <w:r>
        <w:t>Required disclosures can be added naturally inside emails, reports, and bridge pages.</w:t>
      </w:r>
    </w:p>
    <w:p>
      <w:pPr>
        <w:pStyle w:val="Heading1"/>
      </w:pPr>
      <w:r>
        <w:t>Campaign Content Checks</w:t>
      </w:r>
    </w:p>
    <w:p>
      <w:pPr>
        <w:pStyle w:val="ListBullet"/>
      </w:pPr>
      <w:r>
        <w:rPr>
          <w:b/>
        </w:rPr>
        <w:t xml:space="preserve">Check: </w:t>
      </w:r>
      <w:r>
        <w:t>You can explain the product in one simple benefit sentence.</w:t>
      </w:r>
    </w:p>
    <w:p>
      <w:pPr>
        <w:pStyle w:val="ListBullet"/>
      </w:pPr>
      <w:r>
        <w:rPr>
          <w:b/>
        </w:rPr>
        <w:t xml:space="preserve">Check: </w:t>
      </w:r>
      <w:r>
        <w:t>You can list three reader objections before recommending the product.</w:t>
      </w:r>
    </w:p>
    <w:p>
      <w:pPr>
        <w:pStyle w:val="ListBullet"/>
      </w:pPr>
      <w:r>
        <w:rPr>
          <w:b/>
        </w:rPr>
        <w:t xml:space="preserve">Check: </w:t>
      </w:r>
      <w:r>
        <w:t>You can create at least five promotional content angles around the product category.</w:t>
      </w:r>
    </w:p>
    <w:p>
      <w:pPr>
        <w:pStyle w:val="ListBullet"/>
      </w:pPr>
      <w:r>
        <w:rPr>
          <w:b/>
        </w:rPr>
        <w:t xml:space="preserve">Check: </w:t>
      </w:r>
      <w:r>
        <w:t>You can write follow-up emails without inventing proof or promising guaranteed results.</w:t>
      </w:r>
    </w:p>
    <w:p>
      <w:pPr>
        <w:pStyle w:val="Heading1"/>
      </w:pPr>
      <w:r>
        <w:t>Final Decision Checks</w:t>
      </w:r>
    </w:p>
    <w:p>
      <w:pPr>
        <w:pStyle w:val="ListBullet"/>
      </w:pPr>
      <w:r>
        <w:rPr>
          <w:b/>
        </w:rPr>
        <w:t xml:space="preserve">Check: </w:t>
      </w:r>
      <w:r>
        <w:t>The product improves the buyer journey created by the report.</w:t>
      </w:r>
    </w:p>
    <w:p>
      <w:pPr>
        <w:pStyle w:val="ListBullet"/>
      </w:pPr>
      <w:r>
        <w:rPr>
          <w:b/>
        </w:rPr>
        <w:t xml:space="preserve">Check: </w:t>
      </w:r>
      <w:r>
        <w:t>The product gives you enough talking points for a real campaign.</w:t>
      </w:r>
    </w:p>
    <w:p>
      <w:pPr>
        <w:pStyle w:val="ListBullet"/>
      </w:pPr>
      <w:r>
        <w:rPr>
          <w:b/>
        </w:rPr>
        <w:t xml:space="preserve">Check: </w:t>
      </w:r>
      <w:r>
        <w:t>The product can support future campaign branches without confusing the audience.</w:t>
      </w:r>
    </w:p>
    <w:p>
      <w:pPr>
        <w:pStyle w:val="ListBullet"/>
      </w:pPr>
      <w:r>
        <w:rPr>
          <w:b/>
        </w:rPr>
        <w:t xml:space="preserve">Check: </w:t>
      </w:r>
      <w:r>
        <w:t>The product is worth pausing if trust signals or offer fit remain weak.</w:t>
      </w:r>
    </w:p>
    <w:p>
      <w:pPr>
        <w:pStyle w:val="Heading1"/>
      </w:pPr>
      <w:r>
        <w:t>Product Research Scorecard</w:t>
      </w:r>
    </w:p>
    <w:tbl>
      <w:tblPr>
        <w:tblStyle w:val="TableGrid"/>
        <w:tblW w:type="auto" w:w="0"/>
        <w:tblLook w:firstColumn="1" w:firstRow="1" w:lastColumn="0" w:lastRow="0" w:noHBand="0" w:noVBand="1" w:val="04A0"/>
      </w:tblPr>
      <w:tblGrid>
        <w:gridCol w:w="3360"/>
        <w:gridCol w:w="3360"/>
        <w:gridCol w:w="3360"/>
      </w:tblGrid>
      <w:tr>
        <w:tc>
          <w:tcPr>
            <w:tcW w:type="dxa" w:w="3360"/>
            <w:shd w:fill="D9EAF7"/>
          </w:tcPr>
          <w:p>
            <w:r/>
            <w:r>
              <w:rPr>
                <w:b/>
                <w:sz w:val="20"/>
              </w:rPr>
              <w:t>Category</w:t>
            </w:r>
          </w:p>
        </w:tc>
        <w:tc>
          <w:tcPr>
            <w:tcW w:type="dxa" w:w="3360"/>
            <w:shd w:fill="D9EAF7"/>
          </w:tcPr>
          <w:p>
            <w:r/>
            <w:r>
              <w:rPr>
                <w:b/>
                <w:sz w:val="20"/>
              </w:rPr>
              <w:t>Score 1-5</w:t>
            </w:r>
          </w:p>
        </w:tc>
        <w:tc>
          <w:tcPr>
            <w:tcW w:type="dxa" w:w="3360"/>
            <w:shd w:fill="D9EAF7"/>
          </w:tcPr>
          <w:p>
            <w:r/>
            <w:r>
              <w:rPr>
                <w:b/>
                <w:sz w:val="20"/>
              </w:rPr>
              <w:t>Notes</w:t>
            </w:r>
          </w:p>
        </w:tc>
      </w:tr>
      <w:tr>
        <w:tc>
          <w:tcPr>
            <w:tcW w:type="dxa" w:w="3360"/>
          </w:tcPr>
          <w:p>
            <w:r/>
            <w:r>
              <w:rPr>
                <w:b w:val="0"/>
                <w:sz w:val="20"/>
              </w:rPr>
              <w:t>Problem Fit Checks</w:t>
            </w:r>
          </w:p>
        </w:tc>
        <w:tc>
          <w:tcPr>
            <w:tcW w:type="dxa" w:w="3360"/>
          </w:tcPr>
          <w:p>
            <w:r/>
            <w:r>
              <w:rPr>
                <w:b w:val="0"/>
                <w:sz w:val="20"/>
              </w:rPr>
            </w:r>
          </w:p>
        </w:tc>
        <w:tc>
          <w:tcPr>
            <w:tcW w:type="dxa" w:w="3360"/>
          </w:tcPr>
          <w:p>
            <w:r/>
            <w:r>
              <w:rPr>
                <w:b w:val="0"/>
                <w:sz w:val="20"/>
              </w:rPr>
            </w:r>
          </w:p>
        </w:tc>
      </w:tr>
      <w:tr>
        <w:tc>
          <w:tcPr>
            <w:tcW w:type="dxa" w:w="3360"/>
          </w:tcPr>
          <w:p>
            <w:r/>
            <w:r>
              <w:rPr>
                <w:b w:val="0"/>
                <w:sz w:val="20"/>
              </w:rPr>
              <w:t>Trust Signal Checks</w:t>
            </w:r>
          </w:p>
        </w:tc>
        <w:tc>
          <w:tcPr>
            <w:tcW w:type="dxa" w:w="3360"/>
          </w:tcPr>
          <w:p>
            <w:r/>
            <w:r>
              <w:rPr>
                <w:b w:val="0"/>
                <w:sz w:val="20"/>
              </w:rPr>
            </w:r>
          </w:p>
        </w:tc>
        <w:tc>
          <w:tcPr>
            <w:tcW w:type="dxa" w:w="3360"/>
          </w:tcPr>
          <w:p>
            <w:r/>
            <w:r>
              <w:rPr>
                <w:b w:val="0"/>
                <w:sz w:val="20"/>
              </w:rPr>
            </w:r>
          </w:p>
        </w:tc>
      </w:tr>
      <w:tr>
        <w:tc>
          <w:tcPr>
            <w:tcW w:type="dxa" w:w="3360"/>
          </w:tcPr>
          <w:p>
            <w:r/>
            <w:r>
              <w:rPr>
                <w:b w:val="0"/>
                <w:sz w:val="20"/>
              </w:rPr>
              <w:t>Commission And Terms Checks</w:t>
            </w:r>
          </w:p>
        </w:tc>
        <w:tc>
          <w:tcPr>
            <w:tcW w:type="dxa" w:w="3360"/>
          </w:tcPr>
          <w:p>
            <w:r/>
            <w:r>
              <w:rPr>
                <w:b w:val="0"/>
                <w:sz w:val="20"/>
              </w:rPr>
            </w:r>
          </w:p>
        </w:tc>
        <w:tc>
          <w:tcPr>
            <w:tcW w:type="dxa" w:w="3360"/>
          </w:tcPr>
          <w:p>
            <w:r/>
            <w:r>
              <w:rPr>
                <w:b w:val="0"/>
                <w:sz w:val="20"/>
              </w:rPr>
            </w:r>
          </w:p>
        </w:tc>
      </w:tr>
      <w:tr>
        <w:tc>
          <w:tcPr>
            <w:tcW w:type="dxa" w:w="3360"/>
          </w:tcPr>
          <w:p>
            <w:r/>
            <w:r>
              <w:rPr>
                <w:b w:val="0"/>
                <w:sz w:val="20"/>
              </w:rPr>
              <w:t>Campaign Content Checks</w:t>
            </w:r>
          </w:p>
        </w:tc>
        <w:tc>
          <w:tcPr>
            <w:tcW w:type="dxa" w:w="3360"/>
          </w:tcPr>
          <w:p>
            <w:r/>
            <w:r>
              <w:rPr>
                <w:b w:val="0"/>
                <w:sz w:val="20"/>
              </w:rPr>
            </w:r>
          </w:p>
        </w:tc>
        <w:tc>
          <w:tcPr>
            <w:tcW w:type="dxa" w:w="3360"/>
          </w:tcPr>
          <w:p>
            <w:r/>
            <w:r>
              <w:rPr>
                <w:b w:val="0"/>
                <w:sz w:val="20"/>
              </w:rPr>
            </w:r>
          </w:p>
        </w:tc>
      </w:tr>
      <w:tr>
        <w:tc>
          <w:tcPr>
            <w:tcW w:type="dxa" w:w="3360"/>
          </w:tcPr>
          <w:p>
            <w:r/>
            <w:r>
              <w:rPr>
                <w:b w:val="0"/>
                <w:sz w:val="20"/>
              </w:rPr>
              <w:t>Final Decision Checks</w:t>
            </w:r>
          </w:p>
        </w:tc>
        <w:tc>
          <w:tcPr>
            <w:tcW w:type="dxa" w:w="3360"/>
          </w:tcPr>
          <w:p>
            <w:r/>
            <w:r>
              <w:rPr>
                <w:b w:val="0"/>
                <w:sz w:val="20"/>
              </w:rPr>
            </w:r>
          </w:p>
        </w:tc>
        <w:tc>
          <w:tcPr>
            <w:tcW w:type="dxa" w:w="3360"/>
          </w:tcPr>
          <w:p>
            <w:r/>
            <w:r>
              <w:rPr>
                <w:b w:val="0"/>
                <w:sz w:val="20"/>
              </w:rPr>
            </w:r>
          </w:p>
        </w:tc>
      </w:tr>
    </w:tbl>
    <w:p/>
    <w:p>
      <w:pPr>
        <w:spacing w:after="120" w:line="259" w:lineRule="auto"/>
      </w:pPr>
      <w:r>
        <w:t>Choose the product only when problem fit, trust, and campaign content potential all score well. A weak offer can damage every asset connected to that campaign.</w:t>
      </w:r>
    </w:p>
    <w:p>
      <w:pPr>
        <w:pStyle w:val="Heading1"/>
      </w:pPr>
      <w:r>
        <w:t>Fast Research Workflow</w:t>
      </w:r>
    </w:p>
    <w:p>
      <w:pPr>
        <w:spacing w:after="120" w:line="259" w:lineRule="auto"/>
      </w:pPr>
      <w:r>
        <w:t>Use this workflow before committing a product to a new campaign. The goal is to find enough information to make a responsible recommendation without spending days researching. A quick product check should still cover fit, trust, terms, proof, and content potential. Skipping those checks can make every campaign asset weaker.</w:t>
      </w:r>
    </w:p>
    <w:p>
      <w:pPr>
        <w:pStyle w:val="Heading2"/>
      </w:pPr>
      <w:r>
        <w:t>Step 1: Read The Sales Page</w:t>
      </w:r>
    </w:p>
    <w:p>
      <w:pPr>
        <w:spacing w:after="120" w:line="259" w:lineRule="auto"/>
      </w:pPr>
      <w:r>
        <w:t>Look for the product promise, target buyer, included assets, pricing, support, and refund terms. Note any claim that sounds too broad or difficult to support. Your campaign should not repeat claims you cannot verify.</w:t>
      </w:r>
    </w:p>
    <w:p>
      <w:pPr>
        <w:pStyle w:val="Heading2"/>
      </w:pPr>
      <w:r>
        <w:t>Step 2: Check Buyer Fit</w:t>
      </w:r>
    </w:p>
    <w:p>
      <w:pPr>
        <w:spacing w:after="120" w:line="259" w:lineRule="auto"/>
      </w:pPr>
      <w:r>
        <w:t>Compare the product to the reader created by your report. A beginner-friendly report should not lead into an advanced product without warning. Fit includes skill level, budget, timing, and urgency.</w:t>
      </w:r>
    </w:p>
    <w:p>
      <w:pPr>
        <w:pStyle w:val="Heading2"/>
      </w:pPr>
      <w:r>
        <w:t>Step 3: Mine Objections</w:t>
      </w:r>
    </w:p>
    <w:p>
      <w:pPr>
        <w:spacing w:after="120" w:line="259" w:lineRule="auto"/>
      </w:pPr>
      <w:r>
        <w:t>Look for reasons a buyer may hesitate before clicking or buying. Common objections include price, complexity, time, proof, and whether the product fits their current stage. Turn those objections into follow-up content.</w:t>
      </w:r>
    </w:p>
    <w:p>
      <w:pPr>
        <w:pStyle w:val="Heading2"/>
      </w:pPr>
      <w:r>
        <w:t>Step 4: Confirm Affiliate Rules</w:t>
      </w:r>
    </w:p>
    <w:p>
      <w:pPr>
        <w:spacing w:after="120" w:line="259" w:lineRule="auto"/>
      </w:pPr>
      <w:r>
        <w:t>Read the affiliate terms before building assets. Some programs restrict paid ads, brand bidding, email claims, coupon language, or bonus positioning. A strong campaign must respect the rules attached to the offer.</w:t>
      </w:r>
    </w:p>
    <w:p>
      <w:pPr>
        <w:pStyle w:val="Heading2"/>
      </w:pPr>
      <w:r>
        <w:t>Step 5: Decide The Campaign Role</w:t>
      </w:r>
    </w:p>
    <w:p>
      <w:pPr>
        <w:spacing w:after="120" w:line="259" w:lineRule="auto"/>
      </w:pPr>
      <w:r>
        <w:t>Decide whether the product is the main recommendation, a secondary tool, or a future upgrade. Not every product deserves the center of the campaign. The strongest product earns that role through fit and trust.</w:t>
      </w:r>
    </w:p>
    <w:p>
      <w:pPr>
        <w:pStyle w:val="Heading1"/>
      </w:pPr>
      <w:r>
        <w:t>Red Flags</w:t>
      </w:r>
    </w:p>
    <w:p>
      <w:pPr>
        <w:pStyle w:val="ListBullet"/>
      </w:pPr>
      <w:r>
        <w:rPr>
          <w:b/>
        </w:rPr>
        <w:t xml:space="preserve">Avoid: </w:t>
      </w:r>
      <w:r>
        <w:t>The product promise sounds much bigger than the problem your report solves.</w:t>
      </w:r>
    </w:p>
    <w:p>
      <w:pPr>
        <w:pStyle w:val="ListBullet"/>
      </w:pPr>
      <w:r>
        <w:rPr>
          <w:b/>
        </w:rPr>
        <w:t xml:space="preserve">Avoid: </w:t>
      </w:r>
      <w:r>
        <w:t>The sales page depends on income claims you cannot responsibly repeat.</w:t>
      </w:r>
    </w:p>
    <w:p>
      <w:pPr>
        <w:pStyle w:val="ListBullet"/>
      </w:pPr>
      <w:r>
        <w:rPr>
          <w:b/>
        </w:rPr>
        <w:t xml:space="preserve">Avoid: </w:t>
      </w:r>
      <w:r>
        <w:t>The vendor gives unclear refund, support, or access details.</w:t>
      </w:r>
    </w:p>
    <w:p>
      <w:pPr>
        <w:pStyle w:val="ListBullet"/>
      </w:pPr>
      <w:r>
        <w:rPr>
          <w:b/>
        </w:rPr>
        <w:t xml:space="preserve">Avoid: </w:t>
      </w:r>
      <w:r>
        <w:t>The product requires skills your reader probably does not have yet.</w:t>
      </w:r>
    </w:p>
    <w:p>
      <w:pPr>
        <w:pStyle w:val="ListBullet"/>
      </w:pPr>
      <w:r>
        <w:rPr>
          <w:b/>
        </w:rPr>
        <w:t xml:space="preserve">Avoid: </w:t>
      </w:r>
      <w:r>
        <w:t>You cannot create honest follow-up content without exaggerating benefits.</w:t>
      </w:r>
    </w:p>
    <w:p>
      <w:pPr>
        <w:pStyle w:val="Heading1"/>
      </w:pPr>
      <w:r>
        <w:t>Research Notes Template</w:t>
      </w:r>
    </w:p>
    <w:tbl>
      <w:tblPr>
        <w:tblStyle w:val="TableGrid"/>
        <w:tblW w:type="auto" w:w="0"/>
        <w:tblLook w:firstColumn="1" w:firstRow="1" w:lastColumn="0" w:lastRow="0" w:noHBand="0" w:noVBand="1" w:val="04A0"/>
      </w:tblPr>
      <w:tblGrid>
        <w:gridCol w:w="5040"/>
        <w:gridCol w:w="5040"/>
      </w:tblGrid>
      <w:tr>
        <w:tc>
          <w:tcPr>
            <w:tcW w:type="dxa" w:w="5040"/>
          </w:tcPr>
          <w:p>
            <w:r>
              <w:rPr>
                <w:b/>
              </w:rPr>
              <w:t>Research Area</w:t>
            </w:r>
          </w:p>
        </w:tc>
        <w:tc>
          <w:tcPr>
            <w:tcW w:type="dxa" w:w="5040"/>
          </w:tcPr>
          <w:p>
            <w:r>
              <w:rPr>
                <w:b/>
              </w:rPr>
              <w:t>Notes</w:t>
            </w:r>
          </w:p>
        </w:tc>
      </w:tr>
      <w:tr>
        <w:tc>
          <w:tcPr>
            <w:tcW w:type="dxa" w:w="5040"/>
          </w:tcPr>
          <w:p>
            <w:r>
              <w:t>Main product promise</w:t>
            </w:r>
          </w:p>
        </w:tc>
        <w:tc>
          <w:tcPr>
            <w:tcW w:type="dxa" w:w="5040"/>
          </w:tcPr>
          <w:p>
            <w:r/>
          </w:p>
        </w:tc>
      </w:tr>
      <w:tr>
        <w:tc>
          <w:tcPr>
            <w:tcW w:type="dxa" w:w="5040"/>
          </w:tcPr>
          <w:p>
            <w:r>
              <w:t>Buyer level required</w:t>
            </w:r>
          </w:p>
        </w:tc>
        <w:tc>
          <w:tcPr>
            <w:tcW w:type="dxa" w:w="5040"/>
          </w:tcPr>
          <w:p>
            <w:r/>
          </w:p>
        </w:tc>
      </w:tr>
      <w:tr>
        <w:tc>
          <w:tcPr>
            <w:tcW w:type="dxa" w:w="5040"/>
          </w:tcPr>
          <w:p>
            <w:r>
              <w:t>Best feature for this campaign</w:t>
            </w:r>
          </w:p>
        </w:tc>
        <w:tc>
          <w:tcPr>
            <w:tcW w:type="dxa" w:w="5040"/>
          </w:tcPr>
          <w:p>
            <w:r/>
          </w:p>
        </w:tc>
      </w:tr>
      <w:tr>
        <w:tc>
          <w:tcPr>
            <w:tcW w:type="dxa" w:w="5040"/>
          </w:tcPr>
          <w:p>
            <w:r>
              <w:t>Biggest possible objection</w:t>
            </w:r>
          </w:p>
        </w:tc>
        <w:tc>
          <w:tcPr>
            <w:tcW w:type="dxa" w:w="5040"/>
          </w:tcPr>
          <w:p>
            <w:r/>
          </w:p>
        </w:tc>
      </w:tr>
      <w:tr>
        <w:tc>
          <w:tcPr>
            <w:tcW w:type="dxa" w:w="5040"/>
          </w:tcPr>
          <w:p>
            <w:r>
              <w:t>Trust signal found</w:t>
            </w:r>
          </w:p>
        </w:tc>
        <w:tc>
          <w:tcPr>
            <w:tcW w:type="dxa" w:w="5040"/>
          </w:tcPr>
          <w:p>
            <w:r/>
          </w:p>
        </w:tc>
      </w:tr>
      <w:tr>
        <w:tc>
          <w:tcPr>
            <w:tcW w:type="dxa" w:w="5040"/>
          </w:tcPr>
          <w:p>
            <w:r>
              <w:t>Affiliate term to remember</w:t>
            </w:r>
          </w:p>
        </w:tc>
        <w:tc>
          <w:tcPr>
            <w:tcW w:type="dxa" w:w="5040"/>
          </w:tcPr>
          <w:p>
            <w:r/>
          </w:p>
        </w:tc>
      </w:tr>
      <w:tr>
        <w:tc>
          <w:tcPr>
            <w:tcW w:type="dxa" w:w="5040"/>
          </w:tcPr>
          <w:p>
            <w:r>
              <w:t>Disclosure placement</w:t>
            </w:r>
          </w:p>
        </w:tc>
        <w:tc>
          <w:tcPr>
            <w:tcW w:type="dxa" w:w="5040"/>
          </w:tcPr>
          <w:p>
            <w:r/>
          </w:p>
        </w:tc>
      </w:tr>
      <w:tr>
        <w:tc>
          <w:tcPr>
            <w:tcW w:type="dxa" w:w="5040"/>
          </w:tcPr>
          <w:p>
            <w:r>
              <w:t>Final decision</w:t>
            </w:r>
          </w:p>
        </w:tc>
        <w:tc>
          <w:tcPr>
            <w:tcW w:type="dxa" w:w="5040"/>
          </w:tcPr>
          <w:p>
            <w:r/>
          </w:p>
        </w:tc>
      </w:tr>
    </w:tbl>
    <w:p/>
    <w:p>
      <w:pPr>
        <w:spacing w:after="120" w:line="259" w:lineRule="auto"/>
      </w:pPr>
      <w:r>
        <w:t>Keep this notes table inside each campaign folder. When you create later campaigns, these notes help you compare products quickly. They also protect you from rewriting the same research from memory. Good campaign multiplication depends on clean product decisions.</w:t>
      </w:r>
    </w:p>
    <w:sectPr w:rsidR="00FC693F" w:rsidRPr="0006063C" w:rsidSect="00034616">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