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sz w:val="42"/>
        </w:rPr>
        <w:t>5 Product Match Templates</w:t>
      </w:r>
    </w:p>
    <w:p>
      <w:pPr>
        <w:jc w:val="center"/>
      </w:pPr>
      <w:r>
        <w:rPr>
          <w:i/>
          <w:sz w:val="22"/>
        </w:rPr>
        <w:t>Campaign multiplication templates for matching each new report angle to the right offer</w:t>
      </w:r>
    </w:p>
    <w:p/>
    <w:p>
      <w:pPr>
        <w:spacing w:after="120" w:line="259" w:lineRule="auto"/>
      </w:pPr>
      <w:r>
        <w:t>These templates help prevent commission-only decisions. A campaign should earn its product recommendation because the product completes the reader journey.</w:t>
      </w:r>
    </w:p>
    <w:p>
      <w:pPr>
        <w:pStyle w:val="Heading1"/>
      </w:pPr>
      <w:r>
        <w:t>Template 1: Software Tool Match</w:t>
      </w:r>
    </w:p>
    <w:p>
      <w:pPr>
        <w:spacing w:after="120" w:line="259" w:lineRule="auto"/>
      </w:pPr>
      <w:r>
        <w:t>Use this when your report teaches a task that becomes easier with a specific tool.</w:t>
      </w:r>
    </w:p>
    <w:p>
      <w:pPr>
        <w:spacing w:after="120" w:line="259" w:lineRule="auto"/>
      </w:pPr>
      <w:r>
        <w:t>Complete this template before writing promotion assets. The goal is to confirm that the campaign deserves a separate product recommendation.</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Decision Field</w:t>
            </w:r>
          </w:p>
        </w:tc>
        <w:tc>
          <w:tcPr>
            <w:tcW w:type="dxa" w:w="5040"/>
            <w:shd w:fill="D9EAF7"/>
          </w:tcPr>
          <w:p>
            <w:r/>
            <w:r>
              <w:rPr>
                <w:b/>
                <w:sz w:val="20"/>
              </w:rPr>
              <w:t>Answer</w:t>
            </w:r>
          </w:p>
        </w:tc>
      </w:tr>
      <w:tr>
        <w:tc>
          <w:tcPr>
            <w:tcW w:type="dxa" w:w="5040"/>
          </w:tcPr>
          <w:p>
            <w:r/>
            <w:r>
              <w:rPr>
                <w:b w:val="0"/>
                <w:sz w:val="20"/>
              </w:rPr>
              <w:t>Task the report teaches</w:t>
            </w:r>
          </w:p>
        </w:tc>
        <w:tc>
          <w:tcPr>
            <w:tcW w:type="dxa" w:w="5040"/>
          </w:tcPr>
          <w:p>
            <w:r/>
            <w:r>
              <w:rPr>
                <w:b w:val="0"/>
                <w:sz w:val="20"/>
              </w:rPr>
              <w:t>Campaign-specific answer</w:t>
            </w:r>
          </w:p>
        </w:tc>
      </w:tr>
      <w:tr>
        <w:tc>
          <w:tcPr>
            <w:tcW w:type="dxa" w:w="5040"/>
          </w:tcPr>
          <w:p>
            <w:r/>
            <w:r>
              <w:rPr>
                <w:b w:val="0"/>
                <w:sz w:val="20"/>
              </w:rPr>
              <w:t>Tool category that supports the task</w:t>
            </w:r>
          </w:p>
        </w:tc>
        <w:tc>
          <w:tcPr>
            <w:tcW w:type="dxa" w:w="5040"/>
          </w:tcPr>
          <w:p>
            <w:r/>
            <w:r>
              <w:rPr>
                <w:b w:val="0"/>
                <w:sz w:val="20"/>
              </w:rPr>
              <w:t>Campaign-specific answer</w:t>
            </w:r>
          </w:p>
        </w:tc>
      </w:tr>
      <w:tr>
        <w:tc>
          <w:tcPr>
            <w:tcW w:type="dxa" w:w="5040"/>
          </w:tcPr>
          <w:p>
            <w:r/>
            <w:r>
              <w:rPr>
                <w:b w:val="0"/>
                <w:sz w:val="20"/>
              </w:rPr>
              <w:t>Beginner feature that matters most</w:t>
            </w:r>
          </w:p>
        </w:tc>
        <w:tc>
          <w:tcPr>
            <w:tcW w:type="dxa" w:w="5040"/>
          </w:tcPr>
          <w:p>
            <w:r/>
            <w:r>
              <w:rPr>
                <w:b w:val="0"/>
                <w:sz w:val="20"/>
              </w:rPr>
              <w:t>Campaign-specific answer</w:t>
            </w:r>
          </w:p>
        </w:tc>
      </w:tr>
      <w:tr>
        <w:tc>
          <w:tcPr>
            <w:tcW w:type="dxa" w:w="5040"/>
          </w:tcPr>
          <w:p>
            <w:r/>
            <w:r>
              <w:rPr>
                <w:b w:val="0"/>
                <w:sz w:val="20"/>
              </w:rPr>
              <w:t>Price or trial comfort level</w:t>
            </w:r>
          </w:p>
        </w:tc>
        <w:tc>
          <w:tcPr>
            <w:tcW w:type="dxa" w:w="5040"/>
          </w:tcPr>
          <w:p>
            <w:r/>
            <w:r>
              <w:rPr>
                <w:b w:val="0"/>
                <w:sz w:val="20"/>
              </w:rPr>
              <w:t>Campaign-specific answer</w:t>
            </w:r>
          </w:p>
        </w:tc>
      </w:tr>
      <w:tr>
        <w:tc>
          <w:tcPr>
            <w:tcW w:type="dxa" w:w="5040"/>
          </w:tcPr>
          <w:p>
            <w:r/>
            <w:r>
              <w:rPr>
                <w:b w:val="0"/>
                <w:sz w:val="20"/>
              </w:rPr>
              <w:t>Trust signal to verify</w:t>
            </w:r>
          </w:p>
        </w:tc>
        <w:tc>
          <w:tcPr>
            <w:tcW w:type="dxa" w:w="5040"/>
          </w:tcPr>
          <w:p>
            <w:r/>
            <w:r>
              <w:rPr>
                <w:b w:val="0"/>
                <w:sz w:val="20"/>
              </w:rPr>
              <w:t>Campaign-specific answer</w:t>
            </w:r>
          </w:p>
        </w:tc>
      </w:tr>
      <w:tr>
        <w:tc>
          <w:tcPr>
            <w:tcW w:type="dxa" w:w="5040"/>
          </w:tcPr>
          <w:p>
            <w:r/>
            <w:r>
              <w:rPr>
                <w:b w:val="0"/>
                <w:sz w:val="20"/>
              </w:rPr>
              <w:t>Best placement inside follow-up</w:t>
            </w:r>
          </w:p>
        </w:tc>
        <w:tc>
          <w:tcPr>
            <w:tcW w:type="dxa" w:w="5040"/>
          </w:tcPr>
          <w:p>
            <w:r/>
            <w:r>
              <w:rPr>
                <w:b w:val="0"/>
                <w:sz w:val="20"/>
              </w:rPr>
              <w:t>Campaign-specific answer</w:t>
            </w:r>
          </w:p>
        </w:tc>
      </w:tr>
      <w:tr>
        <w:tc>
          <w:tcPr>
            <w:tcW w:type="dxa" w:w="5040"/>
          </w:tcPr>
          <w:p>
            <w:r/>
            <w:r>
              <w:rPr>
                <w:b w:val="0"/>
                <w:sz w:val="20"/>
              </w:rPr>
              <w:t>Reason this tool fits this campaign</w:t>
            </w:r>
          </w:p>
        </w:tc>
        <w:tc>
          <w:tcPr>
            <w:tcW w:type="dxa" w:w="5040"/>
          </w:tcPr>
          <w:p>
            <w:r/>
            <w:r>
              <w:rPr>
                <w:b w:val="0"/>
                <w:sz w:val="20"/>
              </w:rPr>
              <w:t>Campaign-specific answer</w:t>
            </w:r>
          </w:p>
        </w:tc>
      </w:tr>
    </w:tbl>
    <w:p/>
    <w:p>
      <w:pPr>
        <w:pStyle w:val="Heading2"/>
      </w:pPr>
      <w:r>
        <w:t>Recommendation Check</w:t>
      </w:r>
    </w:p>
    <w:p>
      <w:pPr>
        <w:pStyle w:val="ListBullet"/>
      </w:pPr>
      <w:r>
        <w:rPr>
          <w:b/>
        </w:rPr>
        <w:t xml:space="preserve">Strong fit: </w:t>
      </w:r>
      <w:r>
        <w:t>The offer solves the same problem your campaign explains and matches the reader skill level.</w:t>
      </w:r>
    </w:p>
    <w:p>
      <w:pPr>
        <w:pStyle w:val="ListBullet"/>
      </w:pPr>
      <w:r>
        <w:rPr>
          <w:b/>
        </w:rPr>
        <w:t xml:space="preserve">Weak fit: </w:t>
      </w:r>
      <w:r>
        <w:t>The offer only looks attractive because the payout is high or the sales page is exciting.</w:t>
      </w:r>
    </w:p>
    <w:p>
      <w:pPr>
        <w:pStyle w:val="Heading1"/>
      </w:pPr>
      <w:r>
        <w:t>Template 2: Training Product Match</w:t>
      </w:r>
    </w:p>
    <w:p>
      <w:pPr>
        <w:spacing w:after="120" w:line="259" w:lineRule="auto"/>
      </w:pPr>
      <w:r>
        <w:t>Use this when the report teaches the what, but the offer teaches the deeper how.</w:t>
      </w:r>
    </w:p>
    <w:p>
      <w:pPr>
        <w:spacing w:after="120" w:line="259" w:lineRule="auto"/>
      </w:pPr>
      <w:r>
        <w:t>Complete this template before writing promotion assets. The goal is to confirm that the campaign deserves a separate product recommendation.</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Decision Field</w:t>
            </w:r>
          </w:p>
        </w:tc>
        <w:tc>
          <w:tcPr>
            <w:tcW w:type="dxa" w:w="5040"/>
            <w:shd w:fill="D9EAF7"/>
          </w:tcPr>
          <w:p>
            <w:r/>
            <w:r>
              <w:rPr>
                <w:b/>
                <w:sz w:val="20"/>
              </w:rPr>
              <w:t>Answer</w:t>
            </w:r>
          </w:p>
        </w:tc>
      </w:tr>
      <w:tr>
        <w:tc>
          <w:tcPr>
            <w:tcW w:type="dxa" w:w="5040"/>
          </w:tcPr>
          <w:p>
            <w:r/>
            <w:r>
              <w:rPr>
                <w:b w:val="0"/>
                <w:sz w:val="20"/>
              </w:rPr>
              <w:t>Report lesson</w:t>
            </w:r>
          </w:p>
        </w:tc>
        <w:tc>
          <w:tcPr>
            <w:tcW w:type="dxa" w:w="5040"/>
          </w:tcPr>
          <w:p>
            <w:r/>
            <w:r>
              <w:rPr>
                <w:b w:val="0"/>
                <w:sz w:val="20"/>
              </w:rPr>
              <w:t>Campaign-specific answer</w:t>
            </w:r>
          </w:p>
        </w:tc>
      </w:tr>
      <w:tr>
        <w:tc>
          <w:tcPr>
            <w:tcW w:type="dxa" w:w="5040"/>
          </w:tcPr>
          <w:p>
            <w:r/>
            <w:r>
              <w:rPr>
                <w:b w:val="0"/>
                <w:sz w:val="20"/>
              </w:rPr>
              <w:t>Skill gap after reading</w:t>
            </w:r>
          </w:p>
        </w:tc>
        <w:tc>
          <w:tcPr>
            <w:tcW w:type="dxa" w:w="5040"/>
          </w:tcPr>
          <w:p>
            <w:r/>
            <w:r>
              <w:rPr>
                <w:b w:val="0"/>
                <w:sz w:val="20"/>
              </w:rPr>
              <w:t>Campaign-specific answer</w:t>
            </w:r>
          </w:p>
        </w:tc>
      </w:tr>
      <w:tr>
        <w:tc>
          <w:tcPr>
            <w:tcW w:type="dxa" w:w="5040"/>
          </w:tcPr>
          <w:p>
            <w:r/>
            <w:r>
              <w:rPr>
                <w:b w:val="0"/>
                <w:sz w:val="20"/>
              </w:rPr>
              <w:t>Training product promise</w:t>
            </w:r>
          </w:p>
        </w:tc>
        <w:tc>
          <w:tcPr>
            <w:tcW w:type="dxa" w:w="5040"/>
          </w:tcPr>
          <w:p>
            <w:r/>
            <w:r>
              <w:rPr>
                <w:b w:val="0"/>
                <w:sz w:val="20"/>
              </w:rPr>
              <w:t>Campaign-specific answer</w:t>
            </w:r>
          </w:p>
        </w:tc>
      </w:tr>
      <w:tr>
        <w:tc>
          <w:tcPr>
            <w:tcW w:type="dxa" w:w="5040"/>
          </w:tcPr>
          <w:p>
            <w:r/>
            <w:r>
              <w:rPr>
                <w:b w:val="0"/>
                <w:sz w:val="20"/>
              </w:rPr>
              <w:t>Buyer readiness signal</w:t>
            </w:r>
          </w:p>
        </w:tc>
        <w:tc>
          <w:tcPr>
            <w:tcW w:type="dxa" w:w="5040"/>
          </w:tcPr>
          <w:p>
            <w:r/>
            <w:r>
              <w:rPr>
                <w:b w:val="0"/>
                <w:sz w:val="20"/>
              </w:rPr>
              <w:t>Campaign-specific answer</w:t>
            </w:r>
          </w:p>
        </w:tc>
      </w:tr>
      <w:tr>
        <w:tc>
          <w:tcPr>
            <w:tcW w:type="dxa" w:w="5040"/>
          </w:tcPr>
          <w:p>
            <w:r/>
            <w:r>
              <w:rPr>
                <w:b w:val="0"/>
                <w:sz w:val="20"/>
              </w:rPr>
              <w:t>Proof or curriculum check</w:t>
            </w:r>
          </w:p>
        </w:tc>
        <w:tc>
          <w:tcPr>
            <w:tcW w:type="dxa" w:w="5040"/>
          </w:tcPr>
          <w:p>
            <w:r/>
            <w:r>
              <w:rPr>
                <w:b w:val="0"/>
                <w:sz w:val="20"/>
              </w:rPr>
              <w:t>Campaign-specific answer</w:t>
            </w:r>
          </w:p>
        </w:tc>
      </w:tr>
      <w:tr>
        <w:tc>
          <w:tcPr>
            <w:tcW w:type="dxa" w:w="5040"/>
          </w:tcPr>
          <w:p>
            <w:r/>
            <w:r>
              <w:rPr>
                <w:b w:val="0"/>
                <w:sz w:val="20"/>
              </w:rPr>
              <w:t>Objection to address</w:t>
            </w:r>
          </w:p>
        </w:tc>
        <w:tc>
          <w:tcPr>
            <w:tcW w:type="dxa" w:w="5040"/>
          </w:tcPr>
          <w:p>
            <w:r/>
            <w:r>
              <w:rPr>
                <w:b w:val="0"/>
                <w:sz w:val="20"/>
              </w:rPr>
              <w:t>Campaign-specific answer</w:t>
            </w:r>
          </w:p>
        </w:tc>
      </w:tr>
      <w:tr>
        <w:tc>
          <w:tcPr>
            <w:tcW w:type="dxa" w:w="5040"/>
          </w:tcPr>
          <w:p>
            <w:r/>
            <w:r>
              <w:rPr>
                <w:b w:val="0"/>
                <w:sz w:val="20"/>
              </w:rPr>
              <w:t>Follow-up email angle</w:t>
            </w:r>
          </w:p>
        </w:tc>
        <w:tc>
          <w:tcPr>
            <w:tcW w:type="dxa" w:w="5040"/>
          </w:tcPr>
          <w:p>
            <w:r/>
            <w:r>
              <w:rPr>
                <w:b w:val="0"/>
                <w:sz w:val="20"/>
              </w:rPr>
              <w:t>Campaign-specific answer</w:t>
            </w:r>
          </w:p>
        </w:tc>
      </w:tr>
    </w:tbl>
    <w:p/>
    <w:p>
      <w:pPr>
        <w:pStyle w:val="Heading2"/>
      </w:pPr>
      <w:r>
        <w:t>Recommendation Check</w:t>
      </w:r>
    </w:p>
    <w:p>
      <w:pPr>
        <w:pStyle w:val="ListBullet"/>
      </w:pPr>
      <w:r>
        <w:rPr>
          <w:b/>
        </w:rPr>
        <w:t xml:space="preserve">Strong fit: </w:t>
      </w:r>
      <w:r>
        <w:t>The offer solves the same problem your campaign explains and matches the reader skill level.</w:t>
      </w:r>
    </w:p>
    <w:p>
      <w:pPr>
        <w:pStyle w:val="ListBullet"/>
      </w:pPr>
      <w:r>
        <w:rPr>
          <w:b/>
        </w:rPr>
        <w:t xml:space="preserve">Weak fit: </w:t>
      </w:r>
      <w:r>
        <w:t>The offer only looks attractive because the payout is high or the sales page is exciting.</w:t>
      </w:r>
    </w:p>
    <w:p>
      <w:pPr>
        <w:pStyle w:val="Heading1"/>
      </w:pPr>
      <w:r>
        <w:t>Template 3: Template Pack Match</w:t>
      </w:r>
    </w:p>
    <w:p>
      <w:pPr>
        <w:spacing w:after="120" w:line="259" w:lineRule="auto"/>
      </w:pPr>
      <w:r>
        <w:t>Use this when the reader understands the idea but needs copy, layouts, or examples.</w:t>
      </w:r>
    </w:p>
    <w:p>
      <w:pPr>
        <w:spacing w:after="120" w:line="259" w:lineRule="auto"/>
      </w:pPr>
      <w:r>
        <w:t>Complete this template before writing promotion assets. The goal is to confirm that the campaign deserves a separate product recommendation.</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Decision Field</w:t>
            </w:r>
          </w:p>
        </w:tc>
        <w:tc>
          <w:tcPr>
            <w:tcW w:type="dxa" w:w="5040"/>
            <w:shd w:fill="D9EAF7"/>
          </w:tcPr>
          <w:p>
            <w:r/>
            <w:r>
              <w:rPr>
                <w:b/>
                <w:sz w:val="20"/>
              </w:rPr>
              <w:t>Answer</w:t>
            </w:r>
          </w:p>
        </w:tc>
      </w:tr>
      <w:tr>
        <w:tc>
          <w:tcPr>
            <w:tcW w:type="dxa" w:w="5040"/>
          </w:tcPr>
          <w:p>
            <w:r/>
            <w:r>
              <w:rPr>
                <w:b w:val="0"/>
                <w:sz w:val="20"/>
              </w:rPr>
              <w:t>Report problem</w:t>
            </w:r>
          </w:p>
        </w:tc>
        <w:tc>
          <w:tcPr>
            <w:tcW w:type="dxa" w:w="5040"/>
          </w:tcPr>
          <w:p>
            <w:r/>
            <w:r>
              <w:rPr>
                <w:b w:val="0"/>
                <w:sz w:val="20"/>
              </w:rPr>
              <w:t>Campaign-specific answer</w:t>
            </w:r>
          </w:p>
        </w:tc>
      </w:tr>
      <w:tr>
        <w:tc>
          <w:tcPr>
            <w:tcW w:type="dxa" w:w="5040"/>
          </w:tcPr>
          <w:p>
            <w:r/>
            <w:r>
              <w:rPr>
                <w:b w:val="0"/>
                <w:sz w:val="20"/>
              </w:rPr>
              <w:t>Template shortcut needed</w:t>
            </w:r>
          </w:p>
        </w:tc>
        <w:tc>
          <w:tcPr>
            <w:tcW w:type="dxa" w:w="5040"/>
          </w:tcPr>
          <w:p>
            <w:r/>
            <w:r>
              <w:rPr>
                <w:b w:val="0"/>
                <w:sz w:val="20"/>
              </w:rPr>
              <w:t>Campaign-specific answer</w:t>
            </w:r>
          </w:p>
        </w:tc>
      </w:tr>
      <w:tr>
        <w:tc>
          <w:tcPr>
            <w:tcW w:type="dxa" w:w="5040"/>
          </w:tcPr>
          <w:p>
            <w:r/>
            <w:r>
              <w:rPr>
                <w:b w:val="0"/>
                <w:sz w:val="20"/>
              </w:rPr>
              <w:t>Format buyers can use quickly</w:t>
            </w:r>
          </w:p>
        </w:tc>
        <w:tc>
          <w:tcPr>
            <w:tcW w:type="dxa" w:w="5040"/>
          </w:tcPr>
          <w:p>
            <w:r/>
            <w:r>
              <w:rPr>
                <w:b w:val="0"/>
                <w:sz w:val="20"/>
              </w:rPr>
              <w:t>Campaign-specific answer</w:t>
            </w:r>
          </w:p>
        </w:tc>
      </w:tr>
      <w:tr>
        <w:tc>
          <w:tcPr>
            <w:tcW w:type="dxa" w:w="5040"/>
          </w:tcPr>
          <w:p>
            <w:r/>
            <w:r>
              <w:rPr>
                <w:b w:val="0"/>
                <w:sz w:val="20"/>
              </w:rPr>
              <w:t>Customization required</w:t>
            </w:r>
          </w:p>
        </w:tc>
        <w:tc>
          <w:tcPr>
            <w:tcW w:type="dxa" w:w="5040"/>
          </w:tcPr>
          <w:p>
            <w:r/>
            <w:r>
              <w:rPr>
                <w:b w:val="0"/>
                <w:sz w:val="20"/>
              </w:rPr>
              <w:t>Campaign-specific answer</w:t>
            </w:r>
          </w:p>
        </w:tc>
      </w:tr>
      <w:tr>
        <w:tc>
          <w:tcPr>
            <w:tcW w:type="dxa" w:w="5040"/>
          </w:tcPr>
          <w:p>
            <w:r/>
            <w:r>
              <w:rPr>
                <w:b w:val="0"/>
                <w:sz w:val="20"/>
              </w:rPr>
              <w:t>Where templates save time</w:t>
            </w:r>
          </w:p>
        </w:tc>
        <w:tc>
          <w:tcPr>
            <w:tcW w:type="dxa" w:w="5040"/>
          </w:tcPr>
          <w:p>
            <w:r/>
            <w:r>
              <w:rPr>
                <w:b w:val="0"/>
                <w:sz w:val="20"/>
              </w:rPr>
              <w:t>Campaign-specific answer</w:t>
            </w:r>
          </w:p>
        </w:tc>
      </w:tr>
      <w:tr>
        <w:tc>
          <w:tcPr>
            <w:tcW w:type="dxa" w:w="5040"/>
          </w:tcPr>
          <w:p>
            <w:r/>
            <w:r>
              <w:rPr>
                <w:b w:val="0"/>
                <w:sz w:val="20"/>
              </w:rPr>
              <w:t>Best bonus pairing</w:t>
            </w:r>
          </w:p>
        </w:tc>
        <w:tc>
          <w:tcPr>
            <w:tcW w:type="dxa" w:w="5040"/>
          </w:tcPr>
          <w:p>
            <w:r/>
            <w:r>
              <w:rPr>
                <w:b w:val="0"/>
                <w:sz w:val="20"/>
              </w:rPr>
              <w:t>Campaign-specific answer</w:t>
            </w:r>
          </w:p>
        </w:tc>
      </w:tr>
      <w:tr>
        <w:tc>
          <w:tcPr>
            <w:tcW w:type="dxa" w:w="5040"/>
          </w:tcPr>
          <w:p>
            <w:r/>
            <w:r>
              <w:rPr>
                <w:b w:val="0"/>
                <w:sz w:val="20"/>
              </w:rPr>
              <w:t>Campaign CTA angle</w:t>
            </w:r>
          </w:p>
        </w:tc>
        <w:tc>
          <w:tcPr>
            <w:tcW w:type="dxa" w:w="5040"/>
          </w:tcPr>
          <w:p>
            <w:r/>
            <w:r>
              <w:rPr>
                <w:b w:val="0"/>
                <w:sz w:val="20"/>
              </w:rPr>
              <w:t>Campaign-specific answer</w:t>
            </w:r>
          </w:p>
        </w:tc>
      </w:tr>
    </w:tbl>
    <w:p/>
    <w:p>
      <w:pPr>
        <w:pStyle w:val="Heading2"/>
      </w:pPr>
      <w:r>
        <w:t>Recommendation Check</w:t>
      </w:r>
    </w:p>
    <w:p>
      <w:pPr>
        <w:pStyle w:val="ListBullet"/>
      </w:pPr>
      <w:r>
        <w:rPr>
          <w:b/>
        </w:rPr>
        <w:t xml:space="preserve">Strong fit: </w:t>
      </w:r>
      <w:r>
        <w:t>The offer solves the same problem your campaign explains and matches the reader skill level.</w:t>
      </w:r>
    </w:p>
    <w:p>
      <w:pPr>
        <w:pStyle w:val="ListBullet"/>
      </w:pPr>
      <w:r>
        <w:rPr>
          <w:b/>
        </w:rPr>
        <w:t xml:space="preserve">Weak fit: </w:t>
      </w:r>
      <w:r>
        <w:t>The offer only looks attractive because the payout is high or the sales page is exciting.</w:t>
      </w:r>
    </w:p>
    <w:p>
      <w:pPr>
        <w:pStyle w:val="Heading1"/>
      </w:pPr>
      <w:r>
        <w:t>Template 4: Membership Match</w:t>
      </w:r>
    </w:p>
    <w:p>
      <w:pPr>
        <w:spacing w:after="120" w:line="259" w:lineRule="auto"/>
      </w:pPr>
      <w:r>
        <w:t>Use this when buyers need ongoing support, fresh ideas, or repeated campaign assets.</w:t>
      </w:r>
    </w:p>
    <w:p>
      <w:pPr>
        <w:spacing w:after="120" w:line="259" w:lineRule="auto"/>
      </w:pPr>
      <w:r>
        <w:t>Complete this template before writing promotion assets. The goal is to confirm that the campaign deserves a separate product recommendation.</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Decision Field</w:t>
            </w:r>
          </w:p>
        </w:tc>
        <w:tc>
          <w:tcPr>
            <w:tcW w:type="dxa" w:w="5040"/>
            <w:shd w:fill="D9EAF7"/>
          </w:tcPr>
          <w:p>
            <w:r/>
            <w:r>
              <w:rPr>
                <w:b/>
                <w:sz w:val="20"/>
              </w:rPr>
              <w:t>Answer</w:t>
            </w:r>
          </w:p>
        </w:tc>
      </w:tr>
      <w:tr>
        <w:tc>
          <w:tcPr>
            <w:tcW w:type="dxa" w:w="5040"/>
          </w:tcPr>
          <w:p>
            <w:r/>
            <w:r>
              <w:rPr>
                <w:b w:val="0"/>
                <w:sz w:val="20"/>
              </w:rPr>
              <w:t>Ongoing problem</w:t>
            </w:r>
          </w:p>
        </w:tc>
        <w:tc>
          <w:tcPr>
            <w:tcW w:type="dxa" w:w="5040"/>
          </w:tcPr>
          <w:p>
            <w:r/>
            <w:r>
              <w:rPr>
                <w:b w:val="0"/>
                <w:sz w:val="20"/>
              </w:rPr>
              <w:t>Campaign-specific answer</w:t>
            </w:r>
          </w:p>
        </w:tc>
      </w:tr>
      <w:tr>
        <w:tc>
          <w:tcPr>
            <w:tcW w:type="dxa" w:w="5040"/>
          </w:tcPr>
          <w:p>
            <w:r/>
            <w:r>
              <w:rPr>
                <w:b w:val="0"/>
                <w:sz w:val="20"/>
              </w:rPr>
              <w:t>Membership promise</w:t>
            </w:r>
          </w:p>
        </w:tc>
        <w:tc>
          <w:tcPr>
            <w:tcW w:type="dxa" w:w="5040"/>
          </w:tcPr>
          <w:p>
            <w:r/>
            <w:r>
              <w:rPr>
                <w:b w:val="0"/>
                <w:sz w:val="20"/>
              </w:rPr>
              <w:t>Campaign-specific answer</w:t>
            </w:r>
          </w:p>
        </w:tc>
      </w:tr>
      <w:tr>
        <w:tc>
          <w:tcPr>
            <w:tcW w:type="dxa" w:w="5040"/>
          </w:tcPr>
          <w:p>
            <w:r/>
            <w:r>
              <w:rPr>
                <w:b w:val="0"/>
                <w:sz w:val="20"/>
              </w:rPr>
              <w:t>Monthly value driver</w:t>
            </w:r>
          </w:p>
        </w:tc>
        <w:tc>
          <w:tcPr>
            <w:tcW w:type="dxa" w:w="5040"/>
          </w:tcPr>
          <w:p>
            <w:r/>
            <w:r>
              <w:rPr>
                <w:b w:val="0"/>
                <w:sz w:val="20"/>
              </w:rPr>
              <w:t>Campaign-specific answer</w:t>
            </w:r>
          </w:p>
        </w:tc>
      </w:tr>
      <w:tr>
        <w:tc>
          <w:tcPr>
            <w:tcW w:type="dxa" w:w="5040"/>
          </w:tcPr>
          <w:p>
            <w:r/>
            <w:r>
              <w:rPr>
                <w:b w:val="0"/>
                <w:sz w:val="20"/>
              </w:rPr>
              <w:t>Best subscriber segment</w:t>
            </w:r>
          </w:p>
        </w:tc>
        <w:tc>
          <w:tcPr>
            <w:tcW w:type="dxa" w:w="5040"/>
          </w:tcPr>
          <w:p>
            <w:r/>
            <w:r>
              <w:rPr>
                <w:b w:val="0"/>
                <w:sz w:val="20"/>
              </w:rPr>
              <w:t>Campaign-specific answer</w:t>
            </w:r>
          </w:p>
        </w:tc>
      </w:tr>
      <w:tr>
        <w:tc>
          <w:tcPr>
            <w:tcW w:type="dxa" w:w="5040"/>
          </w:tcPr>
          <w:p>
            <w:r/>
            <w:r>
              <w:rPr>
                <w:b w:val="0"/>
                <w:sz w:val="20"/>
              </w:rPr>
              <w:t>Retention reason</w:t>
            </w:r>
          </w:p>
        </w:tc>
        <w:tc>
          <w:tcPr>
            <w:tcW w:type="dxa" w:w="5040"/>
          </w:tcPr>
          <w:p>
            <w:r/>
            <w:r>
              <w:rPr>
                <w:b w:val="0"/>
                <w:sz w:val="20"/>
              </w:rPr>
              <w:t>Campaign-specific answer</w:t>
            </w:r>
          </w:p>
        </w:tc>
      </w:tr>
      <w:tr>
        <w:tc>
          <w:tcPr>
            <w:tcW w:type="dxa" w:w="5040"/>
          </w:tcPr>
          <w:p>
            <w:r/>
            <w:r>
              <w:rPr>
                <w:b w:val="0"/>
                <w:sz w:val="20"/>
              </w:rPr>
              <w:t>Trust concern</w:t>
            </w:r>
          </w:p>
        </w:tc>
        <w:tc>
          <w:tcPr>
            <w:tcW w:type="dxa" w:w="5040"/>
          </w:tcPr>
          <w:p>
            <w:r/>
            <w:r>
              <w:rPr>
                <w:b w:val="0"/>
                <w:sz w:val="20"/>
              </w:rPr>
              <w:t>Campaign-specific answer</w:t>
            </w:r>
          </w:p>
        </w:tc>
      </w:tr>
      <w:tr>
        <w:tc>
          <w:tcPr>
            <w:tcW w:type="dxa" w:w="5040"/>
          </w:tcPr>
          <w:p>
            <w:r/>
            <w:r>
              <w:rPr>
                <w:b w:val="0"/>
                <w:sz w:val="20"/>
              </w:rPr>
              <w:t>Recommendation framing</w:t>
            </w:r>
          </w:p>
        </w:tc>
        <w:tc>
          <w:tcPr>
            <w:tcW w:type="dxa" w:w="5040"/>
          </w:tcPr>
          <w:p>
            <w:r/>
            <w:r>
              <w:rPr>
                <w:b w:val="0"/>
                <w:sz w:val="20"/>
              </w:rPr>
              <w:t>Campaign-specific answer</w:t>
            </w:r>
          </w:p>
        </w:tc>
      </w:tr>
    </w:tbl>
    <w:p/>
    <w:p>
      <w:pPr>
        <w:pStyle w:val="Heading2"/>
      </w:pPr>
      <w:r>
        <w:t>Recommendation Check</w:t>
      </w:r>
    </w:p>
    <w:p>
      <w:pPr>
        <w:pStyle w:val="ListBullet"/>
      </w:pPr>
      <w:r>
        <w:rPr>
          <w:b/>
        </w:rPr>
        <w:t xml:space="preserve">Strong fit: </w:t>
      </w:r>
      <w:r>
        <w:t>The offer solves the same problem your campaign explains and matches the reader skill level.</w:t>
      </w:r>
    </w:p>
    <w:p>
      <w:pPr>
        <w:pStyle w:val="ListBullet"/>
      </w:pPr>
      <w:r>
        <w:rPr>
          <w:b/>
        </w:rPr>
        <w:t xml:space="preserve">Weak fit: </w:t>
      </w:r>
      <w:r>
        <w:t>The offer only looks attractive because the payout is high or the sales page is exciting.</w:t>
      </w:r>
    </w:p>
    <w:p>
      <w:pPr>
        <w:pStyle w:val="Heading1"/>
      </w:pPr>
      <w:r>
        <w:t>Template 5: Bundle Match</w:t>
      </w:r>
    </w:p>
    <w:p>
      <w:pPr>
        <w:spacing w:after="120" w:line="259" w:lineRule="auto"/>
      </w:pPr>
      <w:r>
        <w:t>Use this when one campaign requires several smaller assets to create a complete path.</w:t>
      </w:r>
    </w:p>
    <w:p>
      <w:pPr>
        <w:spacing w:after="120" w:line="259" w:lineRule="auto"/>
      </w:pPr>
      <w:r>
        <w:t>Complete this template before writing promotion assets. The goal is to confirm that the campaign deserves a separate product recommendation.</w:t>
      </w:r>
    </w:p>
    <w:tbl>
      <w:tblPr>
        <w:tblStyle w:val="TableGrid"/>
        <w:tblW w:type="auto" w:w="0"/>
        <w:tblLook w:firstColumn="1" w:firstRow="1" w:lastColumn="0" w:lastRow="0" w:noHBand="0" w:noVBand="1" w:val="04A0"/>
      </w:tblPr>
      <w:tblGrid>
        <w:gridCol w:w="5040"/>
        <w:gridCol w:w="5040"/>
      </w:tblGrid>
      <w:tr>
        <w:tc>
          <w:tcPr>
            <w:tcW w:type="dxa" w:w="5040"/>
            <w:shd w:fill="D9EAF7"/>
          </w:tcPr>
          <w:p>
            <w:r/>
            <w:r>
              <w:rPr>
                <w:b/>
                <w:sz w:val="20"/>
              </w:rPr>
              <w:t>Decision Field</w:t>
            </w:r>
          </w:p>
        </w:tc>
        <w:tc>
          <w:tcPr>
            <w:tcW w:type="dxa" w:w="5040"/>
            <w:shd w:fill="D9EAF7"/>
          </w:tcPr>
          <w:p>
            <w:r/>
            <w:r>
              <w:rPr>
                <w:b/>
                <w:sz w:val="20"/>
              </w:rPr>
              <w:t>Answer</w:t>
            </w:r>
          </w:p>
        </w:tc>
      </w:tr>
      <w:tr>
        <w:tc>
          <w:tcPr>
            <w:tcW w:type="dxa" w:w="5040"/>
          </w:tcPr>
          <w:p>
            <w:r/>
            <w:r>
              <w:rPr>
                <w:b w:val="0"/>
                <w:sz w:val="20"/>
              </w:rPr>
              <w:t>Main campaign goal</w:t>
            </w:r>
          </w:p>
        </w:tc>
        <w:tc>
          <w:tcPr>
            <w:tcW w:type="dxa" w:w="5040"/>
          </w:tcPr>
          <w:p>
            <w:r/>
            <w:r>
              <w:rPr>
                <w:b w:val="0"/>
                <w:sz w:val="20"/>
              </w:rPr>
              <w:t>Campaign-specific answer</w:t>
            </w:r>
          </w:p>
        </w:tc>
      </w:tr>
      <w:tr>
        <w:tc>
          <w:tcPr>
            <w:tcW w:type="dxa" w:w="5040"/>
          </w:tcPr>
          <w:p>
            <w:r/>
            <w:r>
              <w:rPr>
                <w:b w:val="0"/>
                <w:sz w:val="20"/>
              </w:rPr>
              <w:t>Assets needed together</w:t>
            </w:r>
          </w:p>
        </w:tc>
        <w:tc>
          <w:tcPr>
            <w:tcW w:type="dxa" w:w="5040"/>
          </w:tcPr>
          <w:p>
            <w:r/>
            <w:r>
              <w:rPr>
                <w:b w:val="0"/>
                <w:sz w:val="20"/>
              </w:rPr>
              <w:t>Campaign-specific answer</w:t>
            </w:r>
          </w:p>
        </w:tc>
      </w:tr>
      <w:tr>
        <w:tc>
          <w:tcPr>
            <w:tcW w:type="dxa" w:w="5040"/>
          </w:tcPr>
          <w:p>
            <w:r/>
            <w:r>
              <w:rPr>
                <w:b w:val="0"/>
                <w:sz w:val="20"/>
              </w:rPr>
              <w:t>Bundle components</w:t>
            </w:r>
          </w:p>
        </w:tc>
        <w:tc>
          <w:tcPr>
            <w:tcW w:type="dxa" w:w="5040"/>
          </w:tcPr>
          <w:p>
            <w:r/>
            <w:r>
              <w:rPr>
                <w:b w:val="0"/>
                <w:sz w:val="20"/>
              </w:rPr>
              <w:t>Campaign-specific answer</w:t>
            </w:r>
          </w:p>
        </w:tc>
      </w:tr>
      <w:tr>
        <w:tc>
          <w:tcPr>
            <w:tcW w:type="dxa" w:w="5040"/>
          </w:tcPr>
          <w:p>
            <w:r/>
            <w:r>
              <w:rPr>
                <w:b w:val="0"/>
                <w:sz w:val="20"/>
              </w:rPr>
              <w:t>Weakest missing piece</w:t>
            </w:r>
          </w:p>
        </w:tc>
        <w:tc>
          <w:tcPr>
            <w:tcW w:type="dxa" w:w="5040"/>
          </w:tcPr>
          <w:p>
            <w:r/>
            <w:r>
              <w:rPr>
                <w:b w:val="0"/>
                <w:sz w:val="20"/>
              </w:rPr>
              <w:t>Campaign-specific answer</w:t>
            </w:r>
          </w:p>
        </w:tc>
      </w:tr>
      <w:tr>
        <w:tc>
          <w:tcPr>
            <w:tcW w:type="dxa" w:w="5040"/>
          </w:tcPr>
          <w:p>
            <w:r/>
            <w:r>
              <w:rPr>
                <w:b w:val="0"/>
                <w:sz w:val="20"/>
              </w:rPr>
              <w:t>Strongest perceived value point</w:t>
            </w:r>
          </w:p>
        </w:tc>
        <w:tc>
          <w:tcPr>
            <w:tcW w:type="dxa" w:w="5040"/>
          </w:tcPr>
          <w:p>
            <w:r/>
            <w:r>
              <w:rPr>
                <w:b w:val="0"/>
                <w:sz w:val="20"/>
              </w:rPr>
              <w:t>Campaign-specific answer</w:t>
            </w:r>
          </w:p>
        </w:tc>
      </w:tr>
      <w:tr>
        <w:tc>
          <w:tcPr>
            <w:tcW w:type="dxa" w:w="5040"/>
          </w:tcPr>
          <w:p>
            <w:r/>
            <w:r>
              <w:rPr>
                <w:b w:val="0"/>
                <w:sz w:val="20"/>
              </w:rPr>
              <w:t>Buyer risk concern</w:t>
            </w:r>
          </w:p>
        </w:tc>
        <w:tc>
          <w:tcPr>
            <w:tcW w:type="dxa" w:w="5040"/>
          </w:tcPr>
          <w:p>
            <w:r/>
            <w:r>
              <w:rPr>
                <w:b w:val="0"/>
                <w:sz w:val="20"/>
              </w:rPr>
              <w:t>Campaign-specific answer</w:t>
            </w:r>
          </w:p>
        </w:tc>
      </w:tr>
      <w:tr>
        <w:tc>
          <w:tcPr>
            <w:tcW w:type="dxa" w:w="5040"/>
          </w:tcPr>
          <w:p>
            <w:r/>
            <w:r>
              <w:rPr>
                <w:b w:val="0"/>
                <w:sz w:val="20"/>
              </w:rPr>
              <w:t>Best follow-up CTA</w:t>
            </w:r>
          </w:p>
        </w:tc>
        <w:tc>
          <w:tcPr>
            <w:tcW w:type="dxa" w:w="5040"/>
          </w:tcPr>
          <w:p>
            <w:r/>
            <w:r>
              <w:rPr>
                <w:b w:val="0"/>
                <w:sz w:val="20"/>
              </w:rPr>
              <w:t>Campaign-specific answer</w:t>
            </w:r>
          </w:p>
        </w:tc>
      </w:tr>
    </w:tbl>
    <w:p/>
    <w:p>
      <w:pPr>
        <w:pStyle w:val="Heading2"/>
      </w:pPr>
      <w:r>
        <w:t>Recommendation Check</w:t>
      </w:r>
    </w:p>
    <w:p>
      <w:pPr>
        <w:pStyle w:val="ListBullet"/>
      </w:pPr>
      <w:r>
        <w:rPr>
          <w:b/>
        </w:rPr>
        <w:t xml:space="preserve">Strong fit: </w:t>
      </w:r>
      <w:r>
        <w:t>The offer solves the same problem your campaign explains and matches the reader skill level.</w:t>
      </w:r>
    </w:p>
    <w:p>
      <w:pPr>
        <w:pStyle w:val="ListBullet"/>
      </w:pPr>
      <w:r>
        <w:rPr>
          <w:b/>
        </w:rPr>
        <w:t xml:space="preserve">Weak fit: </w:t>
      </w:r>
      <w:r>
        <w:t>The offer only looks attractive because the payout is high or the sales page is exciting.</w:t>
      </w:r>
    </w:p>
    <w:p>
      <w:pPr>
        <w:pStyle w:val="Heading1"/>
      </w:pPr>
      <w:r>
        <w:t>How To Use Product Match Scores</w:t>
      </w:r>
    </w:p>
    <w:p>
      <w:pPr>
        <w:spacing w:after="120" w:line="259" w:lineRule="auto"/>
      </w:pPr>
      <w:r>
        <w:t>A product match template should protect the campaign from weak recommendations. Complete the template before writing emails, captions, scripts, or bridge pages. If the product does not fit the campaign problem, every asset becomes harder to write. A strong match gives you natural talking points without exaggeration.</w:t>
      </w:r>
    </w:p>
    <w:p>
      <w:pPr>
        <w:pStyle w:val="Heading2"/>
      </w:pPr>
      <w:r>
        <w:t>Software Tool Match</w:t>
      </w:r>
    </w:p>
    <w:p>
      <w:pPr>
        <w:spacing w:after="120" w:line="259" w:lineRule="auto"/>
      </w:pPr>
      <w:r>
        <w:t>The report teaches a repeatable task, and the software makes that task faster or cleaner. The strongest campaign explains the task first, then shows why the tool helps with execution. Avoid recommending software when the reader still needs strategy, because the tool may feel premature.</w:t>
      </w:r>
    </w:p>
    <w:tbl>
      <w:tblPr>
        <w:tblStyle w:val="TableGrid"/>
        <w:tblW w:type="auto" w:w="0"/>
        <w:tblLook w:firstColumn="1" w:firstRow="1" w:lastColumn="0" w:lastRow="0" w:noHBand="0" w:noVBand="1" w:val="04A0"/>
      </w:tblPr>
      <w:tblGrid>
        <w:gridCol w:w="5040"/>
        <w:gridCol w:w="5040"/>
      </w:tblGrid>
      <w:tr>
        <w:tc>
          <w:tcPr>
            <w:tcW w:type="dxa" w:w="5040"/>
          </w:tcPr>
          <w:p>
            <w:r>
              <w:rPr>
                <w:b/>
              </w:rPr>
              <w:t>Question</w:t>
            </w:r>
          </w:p>
        </w:tc>
        <w:tc>
          <w:tcPr>
            <w:tcW w:type="dxa" w:w="5040"/>
          </w:tcPr>
          <w:p>
            <w:r>
              <w:rPr>
                <w:b/>
              </w:rPr>
              <w:t>Strong Answer</w:t>
            </w:r>
          </w:p>
        </w:tc>
      </w:tr>
      <w:tr>
        <w:tc>
          <w:tcPr>
            <w:tcW w:type="dxa" w:w="5040"/>
          </w:tcPr>
          <w:p>
            <w:r>
              <w:t>What does the reader need next?</w:t>
            </w:r>
          </w:p>
        </w:tc>
        <w:tc>
          <w:tcPr>
            <w:tcW w:type="dxa" w:w="5040"/>
          </w:tcPr>
          <w:p>
            <w:r>
              <w:t>A specific asset, tool, skill, or support path connected to the campaign.</w:t>
            </w:r>
          </w:p>
        </w:tc>
      </w:tr>
      <w:tr>
        <w:tc>
          <w:tcPr>
            <w:tcW w:type="dxa" w:w="5040"/>
          </w:tcPr>
          <w:p>
            <w:r>
              <w:t>Why now?</w:t>
            </w:r>
          </w:p>
        </w:tc>
        <w:tc>
          <w:tcPr>
            <w:tcW w:type="dxa" w:w="5040"/>
          </w:tcPr>
          <w:p>
            <w:r>
              <w:t>The report has created enough context for the recommendation to feel timely.</w:t>
            </w:r>
          </w:p>
        </w:tc>
      </w:tr>
      <w:tr>
        <w:tc>
          <w:tcPr>
            <w:tcW w:type="dxa" w:w="5040"/>
          </w:tcPr>
          <w:p>
            <w:r>
              <w:t>What proof matters?</w:t>
            </w:r>
          </w:p>
        </w:tc>
        <w:tc>
          <w:tcPr>
            <w:tcW w:type="dxa" w:w="5040"/>
          </w:tcPr>
          <w:p>
            <w:r>
              <w:t>Feature clarity, product samples, vendor trust, refund terms, and buyer-level fit.</w:t>
            </w:r>
          </w:p>
        </w:tc>
      </w:tr>
    </w:tbl>
    <w:p/>
    <w:p>
      <w:pPr>
        <w:pStyle w:val="Heading2"/>
      </w:pPr>
      <w:r>
        <w:t>Training Product Match</w:t>
      </w:r>
    </w:p>
    <w:p>
      <w:pPr>
        <w:spacing w:after="120" w:line="259" w:lineRule="auto"/>
      </w:pPr>
      <w:r>
        <w:t>The report gives the overview, while the training product teaches the complete skill. This match works when the reader clearly needs deeper instruction after reading the report. It fails when the course promise is broader than the problem your campaign introduced.</w:t>
      </w:r>
    </w:p>
    <w:tbl>
      <w:tblPr>
        <w:tblStyle w:val="TableGrid"/>
        <w:tblW w:type="auto" w:w="0"/>
        <w:tblLook w:firstColumn="1" w:firstRow="1" w:lastColumn="0" w:lastRow="0" w:noHBand="0" w:noVBand="1" w:val="04A0"/>
      </w:tblPr>
      <w:tblGrid>
        <w:gridCol w:w="5040"/>
        <w:gridCol w:w="5040"/>
      </w:tblGrid>
      <w:tr>
        <w:tc>
          <w:tcPr>
            <w:tcW w:type="dxa" w:w="5040"/>
          </w:tcPr>
          <w:p>
            <w:r>
              <w:rPr>
                <w:b/>
              </w:rPr>
              <w:t>Question</w:t>
            </w:r>
          </w:p>
        </w:tc>
        <w:tc>
          <w:tcPr>
            <w:tcW w:type="dxa" w:w="5040"/>
          </w:tcPr>
          <w:p>
            <w:r>
              <w:rPr>
                <w:b/>
              </w:rPr>
              <w:t>Strong Answer</w:t>
            </w:r>
          </w:p>
        </w:tc>
      </w:tr>
      <w:tr>
        <w:tc>
          <w:tcPr>
            <w:tcW w:type="dxa" w:w="5040"/>
          </w:tcPr>
          <w:p>
            <w:r>
              <w:t>What does the reader need next?</w:t>
            </w:r>
          </w:p>
        </w:tc>
        <w:tc>
          <w:tcPr>
            <w:tcW w:type="dxa" w:w="5040"/>
          </w:tcPr>
          <w:p>
            <w:r>
              <w:t>A specific asset, tool, skill, or support path connected to the campaign.</w:t>
            </w:r>
          </w:p>
        </w:tc>
      </w:tr>
      <w:tr>
        <w:tc>
          <w:tcPr>
            <w:tcW w:type="dxa" w:w="5040"/>
          </w:tcPr>
          <w:p>
            <w:r>
              <w:t>Why now?</w:t>
            </w:r>
          </w:p>
        </w:tc>
        <w:tc>
          <w:tcPr>
            <w:tcW w:type="dxa" w:w="5040"/>
          </w:tcPr>
          <w:p>
            <w:r>
              <w:t>The report has created enough context for the recommendation to feel timely.</w:t>
            </w:r>
          </w:p>
        </w:tc>
      </w:tr>
      <w:tr>
        <w:tc>
          <w:tcPr>
            <w:tcW w:type="dxa" w:w="5040"/>
          </w:tcPr>
          <w:p>
            <w:r>
              <w:t>What proof matters?</w:t>
            </w:r>
          </w:p>
        </w:tc>
        <w:tc>
          <w:tcPr>
            <w:tcW w:type="dxa" w:w="5040"/>
          </w:tcPr>
          <w:p>
            <w:r>
              <w:t>Feature clarity, product samples, vendor trust, refund terms, and buyer-level fit.</w:t>
            </w:r>
          </w:p>
        </w:tc>
      </w:tr>
    </w:tbl>
    <w:p/>
    <w:p>
      <w:pPr>
        <w:pStyle w:val="Heading2"/>
      </w:pPr>
      <w:r>
        <w:t>Template Pack Match</w:t>
      </w:r>
    </w:p>
    <w:p>
      <w:pPr>
        <w:spacing w:after="120" w:line="259" w:lineRule="auto"/>
      </w:pPr>
      <w:r>
        <w:t>Templates fit when the buyer understands the method but still needs examples. This is strong for bridge pages, emails, captions, checklists, and report outlines. The campaign should show where the template saves time instead of treating templates as magic shortcuts.</w:t>
      </w:r>
    </w:p>
    <w:tbl>
      <w:tblPr>
        <w:tblStyle w:val="TableGrid"/>
        <w:tblW w:type="auto" w:w="0"/>
        <w:tblLook w:firstColumn="1" w:firstRow="1" w:lastColumn="0" w:lastRow="0" w:noHBand="0" w:noVBand="1" w:val="04A0"/>
      </w:tblPr>
      <w:tblGrid>
        <w:gridCol w:w="5040"/>
        <w:gridCol w:w="5040"/>
      </w:tblGrid>
      <w:tr>
        <w:tc>
          <w:tcPr>
            <w:tcW w:type="dxa" w:w="5040"/>
          </w:tcPr>
          <w:p>
            <w:r>
              <w:rPr>
                <w:b/>
              </w:rPr>
              <w:t>Question</w:t>
            </w:r>
          </w:p>
        </w:tc>
        <w:tc>
          <w:tcPr>
            <w:tcW w:type="dxa" w:w="5040"/>
          </w:tcPr>
          <w:p>
            <w:r>
              <w:rPr>
                <w:b/>
              </w:rPr>
              <w:t>Strong Answer</w:t>
            </w:r>
          </w:p>
        </w:tc>
      </w:tr>
      <w:tr>
        <w:tc>
          <w:tcPr>
            <w:tcW w:type="dxa" w:w="5040"/>
          </w:tcPr>
          <w:p>
            <w:r>
              <w:t>What does the reader need next?</w:t>
            </w:r>
          </w:p>
        </w:tc>
        <w:tc>
          <w:tcPr>
            <w:tcW w:type="dxa" w:w="5040"/>
          </w:tcPr>
          <w:p>
            <w:r>
              <w:t>A specific asset, tool, skill, or support path connected to the campaign.</w:t>
            </w:r>
          </w:p>
        </w:tc>
      </w:tr>
      <w:tr>
        <w:tc>
          <w:tcPr>
            <w:tcW w:type="dxa" w:w="5040"/>
          </w:tcPr>
          <w:p>
            <w:r>
              <w:t>Why now?</w:t>
            </w:r>
          </w:p>
        </w:tc>
        <w:tc>
          <w:tcPr>
            <w:tcW w:type="dxa" w:w="5040"/>
          </w:tcPr>
          <w:p>
            <w:r>
              <w:t>The report has created enough context for the recommendation to feel timely.</w:t>
            </w:r>
          </w:p>
        </w:tc>
      </w:tr>
      <w:tr>
        <w:tc>
          <w:tcPr>
            <w:tcW w:type="dxa" w:w="5040"/>
          </w:tcPr>
          <w:p>
            <w:r>
              <w:t>What proof matters?</w:t>
            </w:r>
          </w:p>
        </w:tc>
        <w:tc>
          <w:tcPr>
            <w:tcW w:type="dxa" w:w="5040"/>
          </w:tcPr>
          <w:p>
            <w:r>
              <w:t>Feature clarity, product samples, vendor trust, refund terms, and buyer-level fit.</w:t>
            </w:r>
          </w:p>
        </w:tc>
      </w:tr>
    </w:tbl>
    <w:p/>
    <w:p>
      <w:pPr>
        <w:pStyle w:val="Heading2"/>
      </w:pPr>
      <w:r>
        <w:t>Membership Match</w:t>
      </w:r>
    </w:p>
    <w:p>
      <w:pPr>
        <w:spacing w:after="120" w:line="259" w:lineRule="auto"/>
      </w:pPr>
      <w:r>
        <w:t>Memberships fit when the buyer needs ongoing assets, feedback, updates, or ideas. The campaign must explain why one-time training is not enough for that buyer situation. This recommendation needs extra trust because recurring payments create more hesitation.</w:t>
      </w:r>
    </w:p>
    <w:tbl>
      <w:tblPr>
        <w:tblStyle w:val="TableGrid"/>
        <w:tblW w:type="auto" w:w="0"/>
        <w:tblLook w:firstColumn="1" w:firstRow="1" w:lastColumn="0" w:lastRow="0" w:noHBand="0" w:noVBand="1" w:val="04A0"/>
      </w:tblPr>
      <w:tblGrid>
        <w:gridCol w:w="5040"/>
        <w:gridCol w:w="5040"/>
      </w:tblGrid>
      <w:tr>
        <w:tc>
          <w:tcPr>
            <w:tcW w:type="dxa" w:w="5040"/>
          </w:tcPr>
          <w:p>
            <w:r>
              <w:rPr>
                <w:b/>
              </w:rPr>
              <w:t>Question</w:t>
            </w:r>
          </w:p>
        </w:tc>
        <w:tc>
          <w:tcPr>
            <w:tcW w:type="dxa" w:w="5040"/>
          </w:tcPr>
          <w:p>
            <w:r>
              <w:rPr>
                <w:b/>
              </w:rPr>
              <w:t>Strong Answer</w:t>
            </w:r>
          </w:p>
        </w:tc>
      </w:tr>
      <w:tr>
        <w:tc>
          <w:tcPr>
            <w:tcW w:type="dxa" w:w="5040"/>
          </w:tcPr>
          <w:p>
            <w:r>
              <w:t>What does the reader need next?</w:t>
            </w:r>
          </w:p>
        </w:tc>
        <w:tc>
          <w:tcPr>
            <w:tcW w:type="dxa" w:w="5040"/>
          </w:tcPr>
          <w:p>
            <w:r>
              <w:t>A specific asset, tool, skill, or support path connected to the campaign.</w:t>
            </w:r>
          </w:p>
        </w:tc>
      </w:tr>
      <w:tr>
        <w:tc>
          <w:tcPr>
            <w:tcW w:type="dxa" w:w="5040"/>
          </w:tcPr>
          <w:p>
            <w:r>
              <w:t>Why now?</w:t>
            </w:r>
          </w:p>
        </w:tc>
        <w:tc>
          <w:tcPr>
            <w:tcW w:type="dxa" w:w="5040"/>
          </w:tcPr>
          <w:p>
            <w:r>
              <w:t>The report has created enough context for the recommendation to feel timely.</w:t>
            </w:r>
          </w:p>
        </w:tc>
      </w:tr>
      <w:tr>
        <w:tc>
          <w:tcPr>
            <w:tcW w:type="dxa" w:w="5040"/>
          </w:tcPr>
          <w:p>
            <w:r>
              <w:t>What proof matters?</w:t>
            </w:r>
          </w:p>
        </w:tc>
        <w:tc>
          <w:tcPr>
            <w:tcW w:type="dxa" w:w="5040"/>
          </w:tcPr>
          <w:p>
            <w:r>
              <w:t>Feature clarity, product samples, vendor trust, refund terms, and buyer-level fit.</w:t>
            </w:r>
          </w:p>
        </w:tc>
      </w:tr>
    </w:tbl>
    <w:p/>
    <w:p>
      <w:pPr>
        <w:pStyle w:val="Heading2"/>
      </w:pPr>
      <w:r>
        <w:t>Bundle Match</w:t>
      </w:r>
    </w:p>
    <w:p>
      <w:pPr>
        <w:spacing w:after="120" w:line="259" w:lineRule="auto"/>
      </w:pPr>
      <w:r>
        <w:t>Bundles work when several smaller pieces create one complete campaign path. The report can explain the path, while the bundle provides the assets. The campaign should identify the missing pieces clearly so the bundle feels organized, not bloated.</w:t>
      </w:r>
    </w:p>
    <w:tbl>
      <w:tblPr>
        <w:tblStyle w:val="TableGrid"/>
        <w:tblW w:type="auto" w:w="0"/>
        <w:tblLook w:firstColumn="1" w:firstRow="1" w:lastColumn="0" w:lastRow="0" w:noHBand="0" w:noVBand="1" w:val="04A0"/>
      </w:tblPr>
      <w:tblGrid>
        <w:gridCol w:w="5040"/>
        <w:gridCol w:w="5040"/>
      </w:tblGrid>
      <w:tr>
        <w:tc>
          <w:tcPr>
            <w:tcW w:type="dxa" w:w="5040"/>
          </w:tcPr>
          <w:p>
            <w:r>
              <w:rPr>
                <w:b/>
              </w:rPr>
              <w:t>Question</w:t>
            </w:r>
          </w:p>
        </w:tc>
        <w:tc>
          <w:tcPr>
            <w:tcW w:type="dxa" w:w="5040"/>
          </w:tcPr>
          <w:p>
            <w:r>
              <w:rPr>
                <w:b/>
              </w:rPr>
              <w:t>Strong Answer</w:t>
            </w:r>
          </w:p>
        </w:tc>
      </w:tr>
      <w:tr>
        <w:tc>
          <w:tcPr>
            <w:tcW w:type="dxa" w:w="5040"/>
          </w:tcPr>
          <w:p>
            <w:r>
              <w:t>What does the reader need next?</w:t>
            </w:r>
          </w:p>
        </w:tc>
        <w:tc>
          <w:tcPr>
            <w:tcW w:type="dxa" w:w="5040"/>
          </w:tcPr>
          <w:p>
            <w:r>
              <w:t>A specific asset, tool, skill, or support path connected to the campaign.</w:t>
            </w:r>
          </w:p>
        </w:tc>
      </w:tr>
      <w:tr>
        <w:tc>
          <w:tcPr>
            <w:tcW w:type="dxa" w:w="5040"/>
          </w:tcPr>
          <w:p>
            <w:r>
              <w:t>Why now?</w:t>
            </w:r>
          </w:p>
        </w:tc>
        <w:tc>
          <w:tcPr>
            <w:tcW w:type="dxa" w:w="5040"/>
          </w:tcPr>
          <w:p>
            <w:r>
              <w:t>The report has created enough context for the recommendation to feel timely.</w:t>
            </w:r>
          </w:p>
        </w:tc>
      </w:tr>
      <w:tr>
        <w:tc>
          <w:tcPr>
            <w:tcW w:type="dxa" w:w="5040"/>
          </w:tcPr>
          <w:p>
            <w:r>
              <w:t>What proof matters?</w:t>
            </w:r>
          </w:p>
        </w:tc>
        <w:tc>
          <w:tcPr>
            <w:tcW w:type="dxa" w:w="5040"/>
          </w:tcPr>
          <w:p>
            <w:r>
              <w:t>Feature clarity, product samples, vendor trust, refund terms, and buyer-level fit.</w:t>
            </w:r>
          </w:p>
        </w:tc>
      </w:tr>
    </w:tbl>
    <w:p/>
    <w:p>
      <w:pPr>
        <w:pStyle w:val="Heading1"/>
      </w:pPr>
      <w:r>
        <w:t>Final Product Match Rule</w:t>
      </w:r>
    </w:p>
    <w:p>
      <w:pPr>
        <w:spacing w:after="120" w:line="259" w:lineRule="auto"/>
      </w:pPr>
      <w:r>
        <w:t>Do not promote a product just because it has a strong sales page. Match the product to the report, the reader, the campaign stage, and the follow-up plan. If those four pieces do not connect, choose another product or rewrite the campaign angle. A smaller commission with better fit can protect long-term trust.</w:t>
      </w:r>
    </w:p>
    <w:p>
      <w:pPr>
        <w:pStyle w:val="Heading1"/>
      </w:pPr>
      <w:r>
        <w:t>Product Match Examples</w:t>
      </w:r>
    </w:p>
    <w:p>
      <w:pPr>
        <w:pStyle w:val="Heading2"/>
      </w:pPr>
      <w:r>
        <w:t>Software Tool Example</w:t>
      </w:r>
    </w:p>
    <w:p>
      <w:pPr>
        <w:spacing w:after="120" w:line="259" w:lineRule="auto"/>
      </w:pPr>
      <w:r>
        <w:t>A campaign about organizing affiliate emails can recommend an autoresponder because the tool directly supports delivery and follow-up. The report should first teach why follow-up matters. Then the recommendation can explain how the tool helps manage subscribers, automation, and message timing.</w:t>
      </w:r>
    </w:p>
    <w:p>
      <w:pPr>
        <w:pStyle w:val="ListBullet"/>
      </w:pPr>
      <w:r>
        <w:rPr>
          <w:b/>
        </w:rPr>
        <w:t xml:space="preserve">Campaign role: </w:t>
      </w:r>
      <w:r>
        <w:t>This product type should appear after the reader understands the gap it fills.</w:t>
      </w:r>
    </w:p>
    <w:p>
      <w:pPr>
        <w:pStyle w:val="ListBullet"/>
      </w:pPr>
      <w:r>
        <w:rPr>
          <w:b/>
        </w:rPr>
        <w:t xml:space="preserve">Positioning rule: </w:t>
      </w:r>
      <w:r>
        <w:t>Explain the product as a logical next step, not as a miracle fix.</w:t>
      </w:r>
    </w:p>
    <w:p>
      <w:pPr>
        <w:pStyle w:val="Heading2"/>
      </w:pPr>
      <w:r>
        <w:t>Training Product Example</w:t>
      </w:r>
    </w:p>
    <w:p>
      <w:pPr>
        <w:spacing w:after="120" w:line="259" w:lineRule="auto"/>
      </w:pPr>
      <w:r>
        <w:t>A campaign about product research can recommend training when the reader needs deeper decision skills. The report can teach the main checklist, while the course teaches examples and research habits. This fit is strong when the reader has questions that a simple checklist cannot fully answer.</w:t>
      </w:r>
    </w:p>
    <w:p>
      <w:pPr>
        <w:pStyle w:val="ListBullet"/>
      </w:pPr>
      <w:r>
        <w:rPr>
          <w:b/>
        </w:rPr>
        <w:t xml:space="preserve">Campaign role: </w:t>
      </w:r>
      <w:r>
        <w:t>This product type should appear after the reader understands the gap it fills.</w:t>
      </w:r>
    </w:p>
    <w:p>
      <w:pPr>
        <w:pStyle w:val="ListBullet"/>
      </w:pPr>
      <w:r>
        <w:rPr>
          <w:b/>
        </w:rPr>
        <w:t xml:space="preserve">Positioning rule: </w:t>
      </w:r>
      <w:r>
        <w:t>Explain the product as a logical next step, not as a miracle fix.</w:t>
      </w:r>
    </w:p>
    <w:p>
      <w:pPr>
        <w:pStyle w:val="Heading2"/>
      </w:pPr>
      <w:r>
        <w:t>Template Pack Example</w:t>
      </w:r>
    </w:p>
    <w:p>
      <w:pPr>
        <w:spacing w:after="120" w:line="259" w:lineRule="auto"/>
      </w:pPr>
      <w:r>
        <w:t>A campaign about bridge pages can recommend templates because the buyer already understands the page purpose. The report teaches the page blocks, and the template pack helps create the first version faster. This works best when templates are editable and beginner-friendly.</w:t>
      </w:r>
    </w:p>
    <w:p>
      <w:pPr>
        <w:pStyle w:val="ListBullet"/>
      </w:pPr>
      <w:r>
        <w:rPr>
          <w:b/>
        </w:rPr>
        <w:t xml:space="preserve">Campaign role: </w:t>
      </w:r>
      <w:r>
        <w:t>This product type should appear after the reader understands the gap it fills.</w:t>
      </w:r>
    </w:p>
    <w:p>
      <w:pPr>
        <w:pStyle w:val="ListBullet"/>
      </w:pPr>
      <w:r>
        <w:rPr>
          <w:b/>
        </w:rPr>
        <w:t xml:space="preserve">Positioning rule: </w:t>
      </w:r>
      <w:r>
        <w:t>Explain the product as a logical next step, not as a miracle fix.</w:t>
      </w:r>
    </w:p>
    <w:p>
      <w:pPr>
        <w:pStyle w:val="Heading2"/>
      </w:pPr>
      <w:r>
        <w:t>Membership Example</w:t>
      </w:r>
    </w:p>
    <w:p>
      <w:pPr>
        <w:spacing w:after="120" w:line="259" w:lineRule="auto"/>
      </w:pPr>
      <w:r>
        <w:t>A campaign about ongoing campaign ideas can recommend a membership when freshness matters. The report explains how campaigns multiply, while the membership supplies recurring angles, prompts, or reviews. This match needs clear ongoing value because monthly billing creates buyer hesitation.</w:t>
      </w:r>
    </w:p>
    <w:p>
      <w:pPr>
        <w:pStyle w:val="ListBullet"/>
      </w:pPr>
      <w:r>
        <w:rPr>
          <w:b/>
        </w:rPr>
        <w:t xml:space="preserve">Campaign role: </w:t>
      </w:r>
      <w:r>
        <w:t>This product type should appear after the reader understands the gap it fills.</w:t>
      </w:r>
    </w:p>
    <w:p>
      <w:pPr>
        <w:pStyle w:val="ListBullet"/>
      </w:pPr>
      <w:r>
        <w:rPr>
          <w:b/>
        </w:rPr>
        <w:t xml:space="preserve">Positioning rule: </w:t>
      </w:r>
      <w:r>
        <w:t>Explain the product as a logical next step, not as a miracle fix.</w:t>
      </w:r>
    </w:p>
    <w:p>
      <w:pPr>
        <w:pStyle w:val="Heading2"/>
      </w:pPr>
      <w:r>
        <w:t>Bundle Example</w:t>
      </w:r>
    </w:p>
    <w:p>
      <w:pPr>
        <w:spacing w:after="120" w:line="259" w:lineRule="auto"/>
      </w:pPr>
      <w:r>
        <w:t>A campaign about launching one report can recommend a bundle when several assets are needed together. The report teaches the plan, while the bundle includes emails, posts, checklists, and worksheets. The recommendation should explain how the pieces work together.</w:t>
      </w:r>
    </w:p>
    <w:p>
      <w:pPr>
        <w:pStyle w:val="ListBullet"/>
      </w:pPr>
      <w:r>
        <w:rPr>
          <w:b/>
        </w:rPr>
        <w:t xml:space="preserve">Campaign role: </w:t>
      </w:r>
      <w:r>
        <w:t>This product type should appear after the reader understands the gap it fills.</w:t>
      </w:r>
    </w:p>
    <w:p>
      <w:pPr>
        <w:pStyle w:val="ListBullet"/>
      </w:pPr>
      <w:r>
        <w:rPr>
          <w:b/>
        </w:rPr>
        <w:t xml:space="preserve">Positioning rule: </w:t>
      </w:r>
      <w:r>
        <w:t>Explain the product as a logical next step, not as a miracle fix.</w:t>
      </w:r>
    </w:p>
    <w:p>
      <w:pPr>
        <w:pStyle w:val="Heading1"/>
      </w:pPr>
      <w:r>
        <w:t>Scoring Worksheet</w:t>
      </w:r>
    </w:p>
    <w:tbl>
      <w:tblPr>
        <w:tblStyle w:val="TableGrid"/>
        <w:tblW w:type="auto" w:w="0"/>
        <w:tblLook w:firstColumn="1" w:firstRow="1" w:lastColumn="0" w:lastRow="0" w:noHBand="0" w:noVBand="1" w:val="04A0"/>
      </w:tblPr>
      <w:tblGrid>
        <w:gridCol w:w="2520"/>
        <w:gridCol w:w="2520"/>
        <w:gridCol w:w="2520"/>
        <w:gridCol w:w="2520"/>
      </w:tblGrid>
      <w:tr>
        <w:tc>
          <w:tcPr>
            <w:tcW w:type="dxa" w:w="2520"/>
          </w:tcPr>
          <w:p>
            <w:r>
              <w:rPr>
                <w:b/>
              </w:rPr>
              <w:t>Score Area</w:t>
            </w:r>
          </w:p>
        </w:tc>
        <w:tc>
          <w:tcPr>
            <w:tcW w:type="dxa" w:w="2520"/>
          </w:tcPr>
          <w:p>
            <w:r>
              <w:rPr>
                <w:b/>
              </w:rPr>
              <w:t>1 Point</w:t>
            </w:r>
          </w:p>
        </w:tc>
        <w:tc>
          <w:tcPr>
            <w:tcW w:type="dxa" w:w="2520"/>
          </w:tcPr>
          <w:p>
            <w:r>
              <w:rPr>
                <w:b/>
              </w:rPr>
              <w:t>3 Points</w:t>
            </w:r>
          </w:p>
        </w:tc>
        <w:tc>
          <w:tcPr>
            <w:tcW w:type="dxa" w:w="2520"/>
          </w:tcPr>
          <w:p>
            <w:r>
              <w:rPr>
                <w:b/>
              </w:rPr>
              <w:t>5 Points</w:t>
            </w:r>
          </w:p>
        </w:tc>
      </w:tr>
      <w:tr>
        <w:tc>
          <w:tcPr>
            <w:tcW w:type="dxa" w:w="2520"/>
          </w:tcPr>
          <w:p>
            <w:r>
              <w:t>Problem fit</w:t>
            </w:r>
          </w:p>
        </w:tc>
        <w:tc>
          <w:tcPr>
            <w:tcW w:type="dxa" w:w="2520"/>
          </w:tcPr>
          <w:p>
            <w:r>
              <w:t>Weak connection</w:t>
            </w:r>
          </w:p>
        </w:tc>
        <w:tc>
          <w:tcPr>
            <w:tcW w:type="dxa" w:w="2520"/>
          </w:tcPr>
          <w:p>
            <w:r>
              <w:t>Partial connection</w:t>
            </w:r>
          </w:p>
        </w:tc>
        <w:tc>
          <w:tcPr>
            <w:tcW w:type="dxa" w:w="2520"/>
          </w:tcPr>
          <w:p>
            <w:r>
              <w:t>Directly solves campaign problem</w:t>
            </w:r>
          </w:p>
        </w:tc>
      </w:tr>
      <w:tr>
        <w:tc>
          <w:tcPr>
            <w:tcW w:type="dxa" w:w="2520"/>
          </w:tcPr>
          <w:p>
            <w:r>
              <w:t>Skill fit</w:t>
            </w:r>
          </w:p>
        </w:tc>
        <w:tc>
          <w:tcPr>
            <w:tcW w:type="dxa" w:w="2520"/>
          </w:tcPr>
          <w:p>
            <w:r>
              <w:t>Too advanced</w:t>
            </w:r>
          </w:p>
        </w:tc>
        <w:tc>
          <w:tcPr>
            <w:tcW w:type="dxa" w:w="2520"/>
          </w:tcPr>
          <w:p>
            <w:r>
              <w:t>Needs some guidance</w:t>
            </w:r>
          </w:p>
        </w:tc>
        <w:tc>
          <w:tcPr>
            <w:tcW w:type="dxa" w:w="2520"/>
          </w:tcPr>
          <w:p>
            <w:r>
              <w:t>Matches beginner stage</w:t>
            </w:r>
          </w:p>
        </w:tc>
      </w:tr>
      <w:tr>
        <w:tc>
          <w:tcPr>
            <w:tcW w:type="dxa" w:w="2520"/>
          </w:tcPr>
          <w:p>
            <w:r>
              <w:t>Trust signals</w:t>
            </w:r>
          </w:p>
        </w:tc>
        <w:tc>
          <w:tcPr>
            <w:tcW w:type="dxa" w:w="2520"/>
          </w:tcPr>
          <w:p>
            <w:r>
              <w:t>Unclear</w:t>
            </w:r>
          </w:p>
        </w:tc>
        <w:tc>
          <w:tcPr>
            <w:tcW w:type="dxa" w:w="2520"/>
          </w:tcPr>
          <w:p>
            <w:r>
              <w:t>Some proof</w:t>
            </w:r>
          </w:p>
        </w:tc>
        <w:tc>
          <w:tcPr>
            <w:tcW w:type="dxa" w:w="2520"/>
          </w:tcPr>
          <w:p>
            <w:r>
              <w:t>Clear proof and terms</w:t>
            </w:r>
          </w:p>
        </w:tc>
      </w:tr>
      <w:tr>
        <w:tc>
          <w:tcPr>
            <w:tcW w:type="dxa" w:w="2520"/>
          </w:tcPr>
          <w:p>
            <w:r>
              <w:t>Content potential</w:t>
            </w:r>
          </w:p>
        </w:tc>
        <w:tc>
          <w:tcPr>
            <w:tcW w:type="dxa" w:w="2520"/>
          </w:tcPr>
          <w:p>
            <w:r>
              <w:t>Few angles</w:t>
            </w:r>
          </w:p>
        </w:tc>
        <w:tc>
          <w:tcPr>
            <w:tcW w:type="dxa" w:w="2520"/>
          </w:tcPr>
          <w:p>
            <w:r>
              <w:t>Some angles</w:t>
            </w:r>
          </w:p>
        </w:tc>
        <w:tc>
          <w:tcPr>
            <w:tcW w:type="dxa" w:w="2520"/>
          </w:tcPr>
          <w:p>
            <w:r>
              <w:t>Many honest angles</w:t>
            </w:r>
          </w:p>
        </w:tc>
      </w:tr>
      <w:tr>
        <w:tc>
          <w:tcPr>
            <w:tcW w:type="dxa" w:w="2520"/>
          </w:tcPr>
          <w:p>
            <w:r>
              <w:t>Follow-up fit</w:t>
            </w:r>
          </w:p>
        </w:tc>
        <w:tc>
          <w:tcPr>
            <w:tcW w:type="dxa" w:w="2520"/>
          </w:tcPr>
          <w:p>
            <w:r>
              <w:t>Hard to explain</w:t>
            </w:r>
          </w:p>
        </w:tc>
        <w:tc>
          <w:tcPr>
            <w:tcW w:type="dxa" w:w="2520"/>
          </w:tcPr>
          <w:p>
            <w:r>
              <w:t>Needs careful framing</w:t>
            </w:r>
          </w:p>
        </w:tc>
        <w:tc>
          <w:tcPr>
            <w:tcW w:type="dxa" w:w="2520"/>
          </w:tcPr>
          <w:p>
            <w:r>
              <w:t>Easy to recommend naturally</w:t>
            </w:r>
          </w:p>
        </w:tc>
      </w:tr>
    </w:tbl>
    <w:p/>
    <w:p>
      <w:pPr>
        <w:spacing w:after="120" w:line="259" w:lineRule="auto"/>
      </w:pPr>
      <w:r>
        <w:t>Use the total score to choose the strongest product match. A product scoring below fifteen should be paused or replaced. A score between fifteen and twenty-one needs stronger framing before promotion. A score above twenty-one can usually support a focused campaign if the affiliate terms are acceptable.</w:t>
      </w:r>
    </w:p>
    <w:p>
      <w:pPr>
        <w:pStyle w:val="Heading1"/>
      </w:pPr>
      <w:r>
        <w:t>When To Reject A Product</w:t>
      </w:r>
    </w:p>
    <w:p>
      <w:pPr>
        <w:pStyle w:val="Heading2"/>
      </w:pPr>
      <w:r>
        <w:t>Wrong stage</w:t>
      </w:r>
    </w:p>
    <w:p>
      <w:pPr>
        <w:spacing w:after="120" w:line="259" w:lineRule="auto"/>
      </w:pPr>
      <w:r>
        <w:t>Reject the product when it solves a problem the reader has not reached yet. A beginner who needs first subscribers may not be ready for advanced automation. The recommendation should meet the reader at the campaign stage created by the report.</w:t>
      </w:r>
    </w:p>
    <w:p>
      <w:pPr>
        <w:pStyle w:val="Heading2"/>
      </w:pPr>
      <w:r>
        <w:t>Wrong budget</w:t>
      </w:r>
    </w:p>
    <w:p>
      <w:pPr>
        <w:spacing w:after="120" w:line="259" w:lineRule="auto"/>
      </w:pPr>
      <w:r>
        <w:t>Reject the product when the price creates more friction than the campaign can reasonably handle. Expensive tools may fit later, but a starter campaign needs a clear reason to justify cost. Price fit matters because hesitant buyers need more proof and context.</w:t>
      </w:r>
    </w:p>
    <w:p>
      <w:pPr>
        <w:pStyle w:val="Heading2"/>
      </w:pPr>
      <w:r>
        <w:t>Wrong proof level</w:t>
      </w:r>
    </w:p>
    <w:p>
      <w:pPr>
        <w:spacing w:after="120" w:line="259" w:lineRule="auto"/>
      </w:pPr>
      <w:r>
        <w:t>Reject the product when the vendor gives weak proof, unclear support details, or vague deliverables. The campaign cannot repair a trust problem created by the offer itself. Strong campaigns depend on offers that can withstand reasonable buyer questions.</w:t>
      </w:r>
    </w:p>
    <w:p>
      <w:pPr>
        <w:pStyle w:val="Heading2"/>
      </w:pPr>
      <w:r>
        <w:t>Wrong content fit</w:t>
      </w:r>
    </w:p>
    <w:p>
      <w:pPr>
        <w:spacing w:after="120" w:line="259" w:lineRule="auto"/>
      </w:pPr>
      <w:r>
        <w:t>Reject the product when you cannot create honest emails, posts, or bridge copy without stretching the promise. A good product match gives you natural content angles. A weak match makes every asset sound forced.</w:t>
      </w:r>
    </w:p>
    <w:p>
      <w:pPr>
        <w:pStyle w:val="Heading1"/>
      </w:pPr>
      <w:r>
        <w:t>Product Match Planning Grid</w:t>
      </w:r>
    </w:p>
    <w:tbl>
      <w:tblPr>
        <w:tblStyle w:val="TableGrid"/>
        <w:tblW w:type="auto" w:w="0"/>
        <w:tblLook w:firstColumn="1" w:firstRow="1" w:lastColumn="0" w:lastRow="0" w:noHBand="0" w:noVBand="1" w:val="04A0"/>
      </w:tblPr>
      <w:tblGrid>
        <w:gridCol w:w="2016"/>
        <w:gridCol w:w="2016"/>
        <w:gridCol w:w="2016"/>
        <w:gridCol w:w="2016"/>
        <w:gridCol w:w="2016"/>
      </w:tblGrid>
      <w:tr>
        <w:tc>
          <w:tcPr>
            <w:tcW w:type="dxa" w:w="2016"/>
          </w:tcPr>
          <w:p>
            <w:r>
              <w:rPr>
                <w:b/>
              </w:rPr>
              <w:t>Campaign</w:t>
            </w:r>
          </w:p>
        </w:tc>
        <w:tc>
          <w:tcPr>
            <w:tcW w:type="dxa" w:w="2016"/>
          </w:tcPr>
          <w:p>
            <w:r>
              <w:rPr>
                <w:b/>
              </w:rPr>
              <w:t>Product Type</w:t>
            </w:r>
          </w:p>
        </w:tc>
        <w:tc>
          <w:tcPr>
            <w:tcW w:type="dxa" w:w="2016"/>
          </w:tcPr>
          <w:p>
            <w:r>
              <w:rPr>
                <w:b/>
              </w:rPr>
              <w:t>Reason It Fits</w:t>
            </w:r>
          </w:p>
        </w:tc>
        <w:tc>
          <w:tcPr>
            <w:tcW w:type="dxa" w:w="2016"/>
          </w:tcPr>
          <w:p>
            <w:r>
              <w:rPr>
                <w:b/>
              </w:rPr>
              <w:t>Main Objection</w:t>
            </w:r>
          </w:p>
        </w:tc>
        <w:tc>
          <w:tcPr>
            <w:tcW w:type="dxa" w:w="2016"/>
          </w:tcPr>
          <w:p>
            <w:r>
              <w:rPr>
                <w:b/>
              </w:rPr>
              <w:t>Content Asset Needed</w:t>
            </w:r>
          </w:p>
        </w:tc>
      </w:tr>
      <w:tr>
        <w:tc>
          <w:tcPr>
            <w:tcW w:type="dxa" w:w="2016"/>
          </w:tcPr>
          <w:p>
            <w:r>
              <w:t>AI content cleanup</w:t>
            </w:r>
          </w:p>
        </w:tc>
        <w:tc>
          <w:tcPr>
            <w:tcW w:type="dxa" w:w="2016"/>
          </w:tcPr>
          <w:p>
            <w:r>
              <w:t>AI writing tool</w:t>
            </w:r>
          </w:p>
        </w:tc>
        <w:tc>
          <w:tcPr>
            <w:tcW w:type="dxa" w:w="2016"/>
          </w:tcPr>
          <w:p>
            <w:r>
              <w:t>Supports structured drafting</w:t>
            </w:r>
          </w:p>
        </w:tc>
        <w:tc>
          <w:tcPr>
            <w:tcW w:type="dxa" w:w="2016"/>
          </w:tcPr>
          <w:p>
            <w:r>
              <w:t>Sounds robotic</w:t>
            </w:r>
          </w:p>
        </w:tc>
        <w:tc>
          <w:tcPr>
            <w:tcW w:type="dxa" w:w="2016"/>
          </w:tcPr>
          <w:p>
            <w:r>
              <w:t>Prompt example post</w:t>
            </w:r>
          </w:p>
        </w:tc>
      </w:tr>
      <w:tr>
        <w:tc>
          <w:tcPr>
            <w:tcW w:type="dxa" w:w="2016"/>
          </w:tcPr>
          <w:p>
            <w:r>
              <w:t>First email list</w:t>
            </w:r>
          </w:p>
        </w:tc>
        <w:tc>
          <w:tcPr>
            <w:tcW w:type="dxa" w:w="2016"/>
          </w:tcPr>
          <w:p>
            <w:r>
              <w:t>Autoresponder</w:t>
            </w:r>
          </w:p>
        </w:tc>
        <w:tc>
          <w:tcPr>
            <w:tcW w:type="dxa" w:w="2016"/>
          </w:tcPr>
          <w:p>
            <w:r>
              <w:t>Delivers report and follow-up</w:t>
            </w:r>
          </w:p>
        </w:tc>
        <w:tc>
          <w:tcPr>
            <w:tcW w:type="dxa" w:w="2016"/>
          </w:tcPr>
          <w:p>
            <w:r>
              <w:t>Technical setup fear</w:t>
            </w:r>
          </w:p>
        </w:tc>
        <w:tc>
          <w:tcPr>
            <w:tcW w:type="dxa" w:w="2016"/>
          </w:tcPr>
          <w:p>
            <w:r>
              <w:t>Simple setup checklist</w:t>
            </w:r>
          </w:p>
        </w:tc>
      </w:tr>
      <w:tr>
        <w:tc>
          <w:tcPr>
            <w:tcW w:type="dxa" w:w="2016"/>
          </w:tcPr>
          <w:p>
            <w:r>
              <w:t>Bridge page fix</w:t>
            </w:r>
          </w:p>
        </w:tc>
        <w:tc>
          <w:tcPr>
            <w:tcW w:type="dxa" w:w="2016"/>
          </w:tcPr>
          <w:p>
            <w:r>
              <w:t>Page builder</w:t>
            </w:r>
          </w:p>
        </w:tc>
        <w:tc>
          <w:tcPr>
            <w:tcW w:type="dxa" w:w="2016"/>
          </w:tcPr>
          <w:p>
            <w:r>
              <w:t>Publishes context page</w:t>
            </w:r>
          </w:p>
        </w:tc>
        <w:tc>
          <w:tcPr>
            <w:tcW w:type="dxa" w:w="2016"/>
          </w:tcPr>
          <w:p>
            <w:r>
              <w:t>Another page feels unnecessary</w:t>
            </w:r>
          </w:p>
        </w:tc>
        <w:tc>
          <w:tcPr>
            <w:tcW w:type="dxa" w:w="2016"/>
          </w:tcPr>
          <w:p>
            <w:r>
              <w:t>Five-block page sketch</w:t>
            </w:r>
          </w:p>
        </w:tc>
      </w:tr>
      <w:tr>
        <w:tc>
          <w:tcPr>
            <w:tcW w:type="dxa" w:w="2016"/>
          </w:tcPr>
          <w:p>
            <w:r>
              <w:t>Product research</w:t>
            </w:r>
          </w:p>
        </w:tc>
        <w:tc>
          <w:tcPr>
            <w:tcW w:type="dxa" w:w="2016"/>
          </w:tcPr>
          <w:p>
            <w:r>
              <w:t>Research training</w:t>
            </w:r>
          </w:p>
        </w:tc>
        <w:tc>
          <w:tcPr>
            <w:tcW w:type="dxa" w:w="2016"/>
          </w:tcPr>
          <w:p>
            <w:r>
              <w:t>Improves offer decisions</w:t>
            </w:r>
          </w:p>
        </w:tc>
        <w:tc>
          <w:tcPr>
            <w:tcW w:type="dxa" w:w="2016"/>
          </w:tcPr>
          <w:p>
            <w:r>
              <w:t>Too much research time</w:t>
            </w:r>
          </w:p>
        </w:tc>
        <w:tc>
          <w:tcPr>
            <w:tcW w:type="dxa" w:w="2016"/>
          </w:tcPr>
          <w:p>
            <w:r>
              <w:t>Fast scorecard</w:t>
            </w:r>
          </w:p>
        </w:tc>
      </w:tr>
      <w:tr>
        <w:tc>
          <w:tcPr>
            <w:tcW w:type="dxa" w:w="2016"/>
          </w:tcPr>
          <w:p>
            <w:r>
              <w:t>Short-form promo</w:t>
            </w:r>
          </w:p>
        </w:tc>
        <w:tc>
          <w:tcPr>
            <w:tcW w:type="dxa" w:w="2016"/>
          </w:tcPr>
          <w:p>
            <w:r>
              <w:t>Content planner</w:t>
            </w:r>
          </w:p>
        </w:tc>
        <w:tc>
          <w:tcPr>
            <w:tcW w:type="dxa" w:w="2016"/>
          </w:tcPr>
          <w:p>
            <w:r>
              <w:t>Organizes daily assets</w:t>
            </w:r>
          </w:p>
        </w:tc>
        <w:tc>
          <w:tcPr>
            <w:tcW w:type="dxa" w:w="2016"/>
          </w:tcPr>
          <w:p>
            <w:r>
              <w:t>Content feels overwhelming</w:t>
            </w:r>
          </w:p>
        </w:tc>
        <w:tc>
          <w:tcPr>
            <w:tcW w:type="dxa" w:w="2016"/>
          </w:tcPr>
          <w:p>
            <w:r>
              <w:t>Seven-day sprint calendar</w:t>
            </w:r>
          </w:p>
        </w:tc>
      </w:tr>
    </w:tbl>
    <w:p/>
    <w:p>
      <w:pPr>
        <w:spacing w:after="120" w:line="259" w:lineRule="auto"/>
      </w:pPr>
      <w:r>
        <w:t>Use the planning grid to compare product types before writing campaign copy. The strongest product match creates the fewest explanation problems. It also gives you content assets that answer the buyer’s main hesitation. That makes the campaign easier to launch and easier to scale.</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