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Display" w:hAnsi="Aptos Display"/>
          <w:b/>
          <w:sz w:val="42"/>
        </w:rPr>
        <w:t>5 Niche Expansion Worksheets</w:t>
      </w:r>
    </w:p>
    <w:p>
      <w:pPr>
        <w:jc w:val="center"/>
      </w:pPr>
      <w:r>
        <w:rPr>
          <w:i/>
          <w:sz w:val="22"/>
        </w:rPr>
        <w:t>Worksheet-driven expansion from one report into multiple campaign opportunities</w:t>
      </w:r>
    </w:p>
    <w:p/>
    <w:p>
      <w:pPr>
        <w:spacing w:after="120" w:line="259" w:lineRule="auto"/>
      </w:pPr>
      <w:r>
        <w:t>These worksheets help you multiply campaigns without drifting into random niche chasing. Each worksheet starts from one proven audience and finds a stronger campaign branch.</w:t>
      </w:r>
    </w:p>
    <w:p>
      <w:pPr>
        <w:pStyle w:val="Heading1"/>
      </w:pPr>
      <w:r>
        <w:t>Worksheet 1: Adjacent Problem Expansion</w:t>
      </w:r>
    </w:p>
    <w:p>
      <w:pPr>
        <w:spacing w:after="120" w:line="259" w:lineRule="auto"/>
      </w:pPr>
      <w:r>
        <w:t>Use this worksheet when one report reveals related problems your audience also wants solved.</w:t>
      </w:r>
    </w:p>
    <w:p>
      <w:pPr>
        <w:pStyle w:val="Heading2"/>
      </w:pPr>
      <w:r>
        <w:t>How To Use This Worksheet</w:t>
      </w:r>
    </w:p>
    <w:p>
      <w:pPr>
        <w:spacing w:after="120" w:line="259" w:lineRule="auto"/>
      </w:pPr>
      <w:r>
        <w:t>Start with the report or campaign that already has the clearest buyer problem. Then branch outward only when the new angle has a different promise, product fit, or promotional path.</w:t>
      </w:r>
    </w:p>
    <w:tbl>
      <w:tblPr>
        <w:tblStyle w:val="TableGrid"/>
        <w:tblW w:type="auto" w:w="0"/>
        <w:tblLook w:firstColumn="1" w:firstRow="1" w:lastColumn="0" w:lastRow="0" w:noHBand="0" w:noVBand="1" w:val="04A0"/>
      </w:tblPr>
      <w:tblGrid>
        <w:gridCol w:w="5040"/>
        <w:gridCol w:w="5040"/>
      </w:tblGrid>
      <w:tr>
        <w:tc>
          <w:tcPr>
            <w:tcW w:type="dxa" w:w="5040"/>
            <w:shd w:fill="D9EAF7"/>
          </w:tcPr>
          <w:p>
            <w:r/>
            <w:r>
              <w:rPr>
                <w:b/>
                <w:sz w:val="20"/>
              </w:rPr>
              <w:t>Field</w:t>
            </w:r>
          </w:p>
        </w:tc>
        <w:tc>
          <w:tcPr>
            <w:tcW w:type="dxa" w:w="5040"/>
            <w:shd w:fill="D9EAF7"/>
          </w:tcPr>
          <w:p>
            <w:r/>
            <w:r>
              <w:rPr>
                <w:b/>
                <w:sz w:val="20"/>
              </w:rPr>
              <w:t>Your Answer</w:t>
            </w:r>
          </w:p>
        </w:tc>
      </w:tr>
      <w:tr>
        <w:tc>
          <w:tcPr>
            <w:tcW w:type="dxa" w:w="5040"/>
          </w:tcPr>
          <w:p>
            <w:r/>
            <w:r>
              <w:rPr>
                <w:b w:val="0"/>
                <w:sz w:val="20"/>
              </w:rPr>
              <w:t>Original report problem</w:t>
            </w:r>
          </w:p>
        </w:tc>
        <w:tc>
          <w:tcPr>
            <w:tcW w:type="dxa" w:w="5040"/>
          </w:tcPr>
          <w:p>
            <w:r/>
            <w:r>
              <w:rPr>
                <w:b w:val="0"/>
                <w:sz w:val="20"/>
              </w:rPr>
              <w:t>Write your campaign-specific answer here.</w:t>
            </w:r>
          </w:p>
        </w:tc>
      </w:tr>
      <w:tr>
        <w:tc>
          <w:tcPr>
            <w:tcW w:type="dxa" w:w="5040"/>
          </w:tcPr>
          <w:p>
            <w:r/>
            <w:r>
              <w:rPr>
                <w:b w:val="0"/>
                <w:sz w:val="20"/>
              </w:rPr>
              <w:t>Related beginner frustration</w:t>
            </w:r>
          </w:p>
        </w:tc>
        <w:tc>
          <w:tcPr>
            <w:tcW w:type="dxa" w:w="5040"/>
          </w:tcPr>
          <w:p>
            <w:r/>
            <w:r>
              <w:rPr>
                <w:b w:val="0"/>
                <w:sz w:val="20"/>
              </w:rPr>
              <w:t>Write your campaign-specific answer here.</w:t>
            </w:r>
          </w:p>
        </w:tc>
      </w:tr>
      <w:tr>
        <w:tc>
          <w:tcPr>
            <w:tcW w:type="dxa" w:w="5040"/>
          </w:tcPr>
          <w:p>
            <w:r/>
            <w:r>
              <w:rPr>
                <w:b w:val="0"/>
                <w:sz w:val="20"/>
              </w:rPr>
              <w:t>Different urgency level</w:t>
            </w:r>
          </w:p>
        </w:tc>
        <w:tc>
          <w:tcPr>
            <w:tcW w:type="dxa" w:w="5040"/>
          </w:tcPr>
          <w:p>
            <w:r/>
            <w:r>
              <w:rPr>
                <w:b w:val="0"/>
                <w:sz w:val="20"/>
              </w:rPr>
              <w:t>Write your campaign-specific answer here.</w:t>
            </w:r>
          </w:p>
        </w:tc>
      </w:tr>
      <w:tr>
        <w:tc>
          <w:tcPr>
            <w:tcW w:type="dxa" w:w="5040"/>
          </w:tcPr>
          <w:p>
            <w:r/>
            <w:r>
              <w:rPr>
                <w:b w:val="0"/>
                <w:sz w:val="20"/>
              </w:rPr>
              <w:t>New report promise</w:t>
            </w:r>
          </w:p>
        </w:tc>
        <w:tc>
          <w:tcPr>
            <w:tcW w:type="dxa" w:w="5040"/>
          </w:tcPr>
          <w:p>
            <w:r/>
            <w:r>
              <w:rPr>
                <w:b w:val="0"/>
                <w:sz w:val="20"/>
              </w:rPr>
              <w:t>Write your campaign-specific answer here.</w:t>
            </w:r>
          </w:p>
        </w:tc>
      </w:tr>
      <w:tr>
        <w:tc>
          <w:tcPr>
            <w:tcW w:type="dxa" w:w="5040"/>
          </w:tcPr>
          <w:p>
            <w:r/>
            <w:r>
              <w:rPr>
                <w:b w:val="0"/>
                <w:sz w:val="20"/>
              </w:rPr>
              <w:t>Matching product category</w:t>
            </w:r>
          </w:p>
        </w:tc>
        <w:tc>
          <w:tcPr>
            <w:tcW w:type="dxa" w:w="5040"/>
          </w:tcPr>
          <w:p>
            <w:r/>
            <w:r>
              <w:rPr>
                <w:b w:val="0"/>
                <w:sz w:val="20"/>
              </w:rPr>
              <w:t>Write your campaign-specific answer here.</w:t>
            </w:r>
          </w:p>
        </w:tc>
      </w:tr>
      <w:tr>
        <w:tc>
          <w:tcPr>
            <w:tcW w:type="dxa" w:w="5040"/>
          </w:tcPr>
          <w:p>
            <w:r/>
            <w:r>
              <w:rPr>
                <w:b w:val="0"/>
                <w:sz w:val="20"/>
              </w:rPr>
              <w:t>Email angle for existing subscribers</w:t>
            </w:r>
          </w:p>
        </w:tc>
        <w:tc>
          <w:tcPr>
            <w:tcW w:type="dxa" w:w="5040"/>
          </w:tcPr>
          <w:p>
            <w:r/>
            <w:r>
              <w:rPr>
                <w:b w:val="0"/>
                <w:sz w:val="20"/>
              </w:rPr>
              <w:t>Write your campaign-specific answer here.</w:t>
            </w:r>
          </w:p>
        </w:tc>
      </w:tr>
      <w:tr>
        <w:tc>
          <w:tcPr>
            <w:tcW w:type="dxa" w:w="5040"/>
          </w:tcPr>
          <w:p>
            <w:r/>
            <w:r>
              <w:rPr>
                <w:b w:val="0"/>
                <w:sz w:val="20"/>
              </w:rPr>
              <w:t>Metric that proves interest</w:t>
            </w:r>
          </w:p>
        </w:tc>
        <w:tc>
          <w:tcPr>
            <w:tcW w:type="dxa" w:w="5040"/>
          </w:tcPr>
          <w:p>
            <w:r/>
            <w:r>
              <w:rPr>
                <w:b w:val="0"/>
                <w:sz w:val="20"/>
              </w:rPr>
              <w:t>Write your campaign-specific answer here.</w:t>
            </w:r>
          </w:p>
        </w:tc>
      </w:tr>
    </w:tbl>
    <w:p/>
    <w:p>
      <w:pPr>
        <w:pStyle w:val="Heading2"/>
      </w:pPr>
      <w:r>
        <w:t>Campaign Decision</w:t>
      </w:r>
    </w:p>
    <w:p>
      <w:pPr>
        <w:pStyle w:val="ListBullet"/>
      </w:pPr>
      <w:r>
        <w:rPr>
          <w:b/>
        </w:rPr>
        <w:t xml:space="preserve">Keep: </w:t>
      </w:r>
      <w:r>
        <w:t>Keep this expansion if it creates a distinct buying reason, not just a renamed version of the same report.</w:t>
      </w:r>
    </w:p>
    <w:p>
      <w:pPr>
        <w:pStyle w:val="ListBullet"/>
      </w:pPr>
      <w:r>
        <w:rPr>
          <w:b/>
        </w:rPr>
        <w:t xml:space="preserve">Pause: </w:t>
      </w:r>
      <w:r>
        <w:t>Pause this expansion if the same product, same promise, and same content would be reused again.</w:t>
      </w:r>
    </w:p>
    <w:p>
      <w:pPr>
        <w:pStyle w:val="Heading1"/>
      </w:pPr>
      <w:r>
        <w:t>Worksheet 2: Skill-Level Expansion</w:t>
      </w:r>
    </w:p>
    <w:p>
      <w:pPr>
        <w:spacing w:after="120" w:line="259" w:lineRule="auto"/>
      </w:pPr>
      <w:r>
        <w:t>Use this worksheet to create beginner, intermediate, and action-ready campaign branches from one niche.</w:t>
      </w:r>
    </w:p>
    <w:p>
      <w:pPr>
        <w:pStyle w:val="Heading2"/>
      </w:pPr>
      <w:r>
        <w:t>How To Use This Worksheet</w:t>
      </w:r>
    </w:p>
    <w:p>
      <w:pPr>
        <w:spacing w:after="120" w:line="259" w:lineRule="auto"/>
      </w:pPr>
      <w:r>
        <w:t>Start with the report or campaign that already has the clearest buyer problem. Then branch outward only when the new angle has a different promise, product fit, or promotional path.</w:t>
      </w:r>
    </w:p>
    <w:tbl>
      <w:tblPr>
        <w:tblStyle w:val="TableGrid"/>
        <w:tblW w:type="auto" w:w="0"/>
        <w:tblLook w:firstColumn="1" w:firstRow="1" w:lastColumn="0" w:lastRow="0" w:noHBand="0" w:noVBand="1" w:val="04A0"/>
      </w:tblPr>
      <w:tblGrid>
        <w:gridCol w:w="5040"/>
        <w:gridCol w:w="5040"/>
      </w:tblGrid>
      <w:tr>
        <w:tc>
          <w:tcPr>
            <w:tcW w:type="dxa" w:w="5040"/>
            <w:shd w:fill="D9EAF7"/>
          </w:tcPr>
          <w:p>
            <w:r/>
            <w:r>
              <w:rPr>
                <w:b/>
                <w:sz w:val="20"/>
              </w:rPr>
              <w:t>Field</w:t>
            </w:r>
          </w:p>
        </w:tc>
        <w:tc>
          <w:tcPr>
            <w:tcW w:type="dxa" w:w="5040"/>
            <w:shd w:fill="D9EAF7"/>
          </w:tcPr>
          <w:p>
            <w:r/>
            <w:r>
              <w:rPr>
                <w:b/>
                <w:sz w:val="20"/>
              </w:rPr>
              <w:t>Your Answer</w:t>
            </w:r>
          </w:p>
        </w:tc>
      </w:tr>
      <w:tr>
        <w:tc>
          <w:tcPr>
            <w:tcW w:type="dxa" w:w="5040"/>
          </w:tcPr>
          <w:p>
            <w:r/>
            <w:r>
              <w:rPr>
                <w:b w:val="0"/>
                <w:sz w:val="20"/>
              </w:rPr>
              <w:t>Beginner version of the problem</w:t>
            </w:r>
          </w:p>
        </w:tc>
        <w:tc>
          <w:tcPr>
            <w:tcW w:type="dxa" w:w="5040"/>
          </w:tcPr>
          <w:p>
            <w:r/>
            <w:r>
              <w:rPr>
                <w:b w:val="0"/>
                <w:sz w:val="20"/>
              </w:rPr>
              <w:t>Write your campaign-specific answer here.</w:t>
            </w:r>
          </w:p>
        </w:tc>
      </w:tr>
      <w:tr>
        <w:tc>
          <w:tcPr>
            <w:tcW w:type="dxa" w:w="5040"/>
          </w:tcPr>
          <w:p>
            <w:r/>
            <w:r>
              <w:rPr>
                <w:b w:val="0"/>
                <w:sz w:val="20"/>
              </w:rPr>
              <w:t>Next-level problem after first result</w:t>
            </w:r>
          </w:p>
        </w:tc>
        <w:tc>
          <w:tcPr>
            <w:tcW w:type="dxa" w:w="5040"/>
          </w:tcPr>
          <w:p>
            <w:r/>
            <w:r>
              <w:rPr>
                <w:b w:val="0"/>
                <w:sz w:val="20"/>
              </w:rPr>
              <w:t>Write your campaign-specific answer here.</w:t>
            </w:r>
          </w:p>
        </w:tc>
      </w:tr>
      <w:tr>
        <w:tc>
          <w:tcPr>
            <w:tcW w:type="dxa" w:w="5040"/>
          </w:tcPr>
          <w:p>
            <w:r/>
            <w:r>
              <w:rPr>
                <w:b w:val="0"/>
                <w:sz w:val="20"/>
              </w:rPr>
              <w:t>Advanced shortcut buyers may want</w:t>
            </w:r>
          </w:p>
        </w:tc>
        <w:tc>
          <w:tcPr>
            <w:tcW w:type="dxa" w:w="5040"/>
          </w:tcPr>
          <w:p>
            <w:r/>
            <w:r>
              <w:rPr>
                <w:b w:val="0"/>
                <w:sz w:val="20"/>
              </w:rPr>
              <w:t>Write your campaign-specific answer here.</w:t>
            </w:r>
          </w:p>
        </w:tc>
      </w:tr>
      <w:tr>
        <w:tc>
          <w:tcPr>
            <w:tcW w:type="dxa" w:w="5040"/>
          </w:tcPr>
          <w:p>
            <w:r/>
            <w:r>
              <w:rPr>
                <w:b w:val="0"/>
                <w:sz w:val="20"/>
              </w:rPr>
              <w:t>Offer for each skill level</w:t>
            </w:r>
          </w:p>
        </w:tc>
        <w:tc>
          <w:tcPr>
            <w:tcW w:type="dxa" w:w="5040"/>
          </w:tcPr>
          <w:p>
            <w:r/>
            <w:r>
              <w:rPr>
                <w:b w:val="0"/>
                <w:sz w:val="20"/>
              </w:rPr>
              <w:t>Write your campaign-specific answer here.</w:t>
            </w:r>
          </w:p>
        </w:tc>
      </w:tr>
      <w:tr>
        <w:tc>
          <w:tcPr>
            <w:tcW w:type="dxa" w:w="5040"/>
          </w:tcPr>
          <w:p>
            <w:r/>
            <w:r>
              <w:rPr>
                <w:b w:val="0"/>
                <w:sz w:val="20"/>
              </w:rPr>
              <w:t>Content type for each level</w:t>
            </w:r>
          </w:p>
        </w:tc>
        <w:tc>
          <w:tcPr>
            <w:tcW w:type="dxa" w:w="5040"/>
          </w:tcPr>
          <w:p>
            <w:r/>
            <w:r>
              <w:rPr>
                <w:b w:val="0"/>
                <w:sz w:val="20"/>
              </w:rPr>
              <w:t>Write your campaign-specific answer here.</w:t>
            </w:r>
          </w:p>
        </w:tc>
      </w:tr>
      <w:tr>
        <w:tc>
          <w:tcPr>
            <w:tcW w:type="dxa" w:w="5040"/>
          </w:tcPr>
          <w:p>
            <w:r/>
            <w:r>
              <w:rPr>
                <w:b w:val="0"/>
                <w:sz w:val="20"/>
              </w:rPr>
              <w:t>Reason each level deserves its own campaign</w:t>
            </w:r>
          </w:p>
        </w:tc>
        <w:tc>
          <w:tcPr>
            <w:tcW w:type="dxa" w:w="5040"/>
          </w:tcPr>
          <w:p>
            <w:r/>
            <w:r>
              <w:rPr>
                <w:b w:val="0"/>
                <w:sz w:val="20"/>
              </w:rPr>
              <w:t>Write your campaign-specific answer here.</w:t>
            </w:r>
          </w:p>
        </w:tc>
      </w:tr>
      <w:tr>
        <w:tc>
          <w:tcPr>
            <w:tcW w:type="dxa" w:w="5040"/>
          </w:tcPr>
          <w:p>
            <w:r/>
            <w:r>
              <w:rPr>
                <w:b w:val="0"/>
                <w:sz w:val="20"/>
              </w:rPr>
              <w:t>What to avoid repeating</w:t>
            </w:r>
          </w:p>
        </w:tc>
        <w:tc>
          <w:tcPr>
            <w:tcW w:type="dxa" w:w="5040"/>
          </w:tcPr>
          <w:p>
            <w:r/>
            <w:r>
              <w:rPr>
                <w:b w:val="0"/>
                <w:sz w:val="20"/>
              </w:rPr>
              <w:t>Write your campaign-specific answer here.</w:t>
            </w:r>
          </w:p>
        </w:tc>
      </w:tr>
    </w:tbl>
    <w:p/>
    <w:p>
      <w:pPr>
        <w:pStyle w:val="Heading2"/>
      </w:pPr>
      <w:r>
        <w:t>Campaign Decision</w:t>
      </w:r>
    </w:p>
    <w:p>
      <w:pPr>
        <w:pStyle w:val="ListBullet"/>
      </w:pPr>
      <w:r>
        <w:rPr>
          <w:b/>
        </w:rPr>
        <w:t xml:space="preserve">Keep: </w:t>
      </w:r>
      <w:r>
        <w:t>Keep this expansion if it creates a distinct buying reason, not just a renamed version of the same report.</w:t>
      </w:r>
    </w:p>
    <w:p>
      <w:pPr>
        <w:pStyle w:val="ListBullet"/>
      </w:pPr>
      <w:r>
        <w:rPr>
          <w:b/>
        </w:rPr>
        <w:t xml:space="preserve">Pause: </w:t>
      </w:r>
      <w:r>
        <w:t>Pause this expansion if the same product, same promise, and same content would be reused again.</w:t>
      </w:r>
    </w:p>
    <w:p>
      <w:pPr>
        <w:pStyle w:val="Heading1"/>
      </w:pPr>
      <w:r>
        <w:t>Worksheet 3: Product Category Expansion</w:t>
      </w:r>
    </w:p>
    <w:p>
      <w:pPr>
        <w:spacing w:after="120" w:line="259" w:lineRule="auto"/>
      </w:pPr>
      <w:r>
        <w:t>Use this worksheet when one audience can buy different tools, templates, trainings, or services.</w:t>
      </w:r>
    </w:p>
    <w:p>
      <w:pPr>
        <w:pStyle w:val="Heading2"/>
      </w:pPr>
      <w:r>
        <w:t>How To Use This Worksheet</w:t>
      </w:r>
    </w:p>
    <w:p>
      <w:pPr>
        <w:spacing w:after="120" w:line="259" w:lineRule="auto"/>
      </w:pPr>
      <w:r>
        <w:t>Start with the report or campaign that already has the clearest buyer problem. Then branch outward only when the new angle has a different promise, product fit, or promotional path.</w:t>
      </w:r>
    </w:p>
    <w:tbl>
      <w:tblPr>
        <w:tblStyle w:val="TableGrid"/>
        <w:tblW w:type="auto" w:w="0"/>
        <w:tblLook w:firstColumn="1" w:firstRow="1" w:lastColumn="0" w:lastRow="0" w:noHBand="0" w:noVBand="1" w:val="04A0"/>
      </w:tblPr>
      <w:tblGrid>
        <w:gridCol w:w="5040"/>
        <w:gridCol w:w="5040"/>
      </w:tblGrid>
      <w:tr>
        <w:tc>
          <w:tcPr>
            <w:tcW w:type="dxa" w:w="5040"/>
            <w:shd w:fill="D9EAF7"/>
          </w:tcPr>
          <w:p>
            <w:r/>
            <w:r>
              <w:rPr>
                <w:b/>
                <w:sz w:val="20"/>
              </w:rPr>
              <w:t>Field</w:t>
            </w:r>
          </w:p>
        </w:tc>
        <w:tc>
          <w:tcPr>
            <w:tcW w:type="dxa" w:w="5040"/>
            <w:shd w:fill="D9EAF7"/>
          </w:tcPr>
          <w:p>
            <w:r/>
            <w:r>
              <w:rPr>
                <w:b/>
                <w:sz w:val="20"/>
              </w:rPr>
              <w:t>Your Answer</w:t>
            </w:r>
          </w:p>
        </w:tc>
      </w:tr>
      <w:tr>
        <w:tc>
          <w:tcPr>
            <w:tcW w:type="dxa" w:w="5040"/>
          </w:tcPr>
          <w:p>
            <w:r/>
            <w:r>
              <w:rPr>
                <w:b w:val="0"/>
                <w:sz w:val="20"/>
              </w:rPr>
              <w:t>Current report topic</w:t>
            </w:r>
          </w:p>
        </w:tc>
        <w:tc>
          <w:tcPr>
            <w:tcW w:type="dxa" w:w="5040"/>
          </w:tcPr>
          <w:p>
            <w:r/>
            <w:r>
              <w:rPr>
                <w:b w:val="0"/>
                <w:sz w:val="20"/>
              </w:rPr>
              <w:t>Write your campaign-specific answer here.</w:t>
            </w:r>
          </w:p>
        </w:tc>
      </w:tr>
      <w:tr>
        <w:tc>
          <w:tcPr>
            <w:tcW w:type="dxa" w:w="5040"/>
          </w:tcPr>
          <w:p>
            <w:r/>
            <w:r>
              <w:rPr>
                <w:b w:val="0"/>
                <w:sz w:val="20"/>
              </w:rPr>
              <w:t>Tool category campaign</w:t>
            </w:r>
          </w:p>
        </w:tc>
        <w:tc>
          <w:tcPr>
            <w:tcW w:type="dxa" w:w="5040"/>
          </w:tcPr>
          <w:p>
            <w:r/>
            <w:r>
              <w:rPr>
                <w:b w:val="0"/>
                <w:sz w:val="20"/>
              </w:rPr>
              <w:t>Write your campaign-specific answer here.</w:t>
            </w:r>
          </w:p>
        </w:tc>
      </w:tr>
      <w:tr>
        <w:tc>
          <w:tcPr>
            <w:tcW w:type="dxa" w:w="5040"/>
          </w:tcPr>
          <w:p>
            <w:r/>
            <w:r>
              <w:rPr>
                <w:b w:val="0"/>
                <w:sz w:val="20"/>
              </w:rPr>
              <w:t>Template category campaign</w:t>
            </w:r>
          </w:p>
        </w:tc>
        <w:tc>
          <w:tcPr>
            <w:tcW w:type="dxa" w:w="5040"/>
          </w:tcPr>
          <w:p>
            <w:r/>
            <w:r>
              <w:rPr>
                <w:b w:val="0"/>
                <w:sz w:val="20"/>
              </w:rPr>
              <w:t>Write your campaign-specific answer here.</w:t>
            </w:r>
          </w:p>
        </w:tc>
      </w:tr>
      <w:tr>
        <w:tc>
          <w:tcPr>
            <w:tcW w:type="dxa" w:w="5040"/>
          </w:tcPr>
          <w:p>
            <w:r/>
            <w:r>
              <w:rPr>
                <w:b w:val="0"/>
                <w:sz w:val="20"/>
              </w:rPr>
              <w:t>Training category campaign</w:t>
            </w:r>
          </w:p>
        </w:tc>
        <w:tc>
          <w:tcPr>
            <w:tcW w:type="dxa" w:w="5040"/>
          </w:tcPr>
          <w:p>
            <w:r/>
            <w:r>
              <w:rPr>
                <w:b w:val="0"/>
                <w:sz w:val="20"/>
              </w:rPr>
              <w:t>Write your campaign-specific answer here.</w:t>
            </w:r>
          </w:p>
        </w:tc>
      </w:tr>
      <w:tr>
        <w:tc>
          <w:tcPr>
            <w:tcW w:type="dxa" w:w="5040"/>
          </w:tcPr>
          <w:p>
            <w:r/>
            <w:r>
              <w:rPr>
                <w:b w:val="0"/>
                <w:sz w:val="20"/>
              </w:rPr>
              <w:t>Membership category campaign</w:t>
            </w:r>
          </w:p>
        </w:tc>
        <w:tc>
          <w:tcPr>
            <w:tcW w:type="dxa" w:w="5040"/>
          </w:tcPr>
          <w:p>
            <w:r/>
            <w:r>
              <w:rPr>
                <w:b w:val="0"/>
                <w:sz w:val="20"/>
              </w:rPr>
              <w:t>Write your campaign-specific answer here.</w:t>
            </w:r>
          </w:p>
        </w:tc>
      </w:tr>
      <w:tr>
        <w:tc>
          <w:tcPr>
            <w:tcW w:type="dxa" w:w="5040"/>
          </w:tcPr>
          <w:p>
            <w:r/>
            <w:r>
              <w:rPr>
                <w:b w:val="0"/>
                <w:sz w:val="20"/>
              </w:rPr>
              <w:t>Buyer objection for each category</w:t>
            </w:r>
          </w:p>
        </w:tc>
        <w:tc>
          <w:tcPr>
            <w:tcW w:type="dxa" w:w="5040"/>
          </w:tcPr>
          <w:p>
            <w:r/>
            <w:r>
              <w:rPr>
                <w:b w:val="0"/>
                <w:sz w:val="20"/>
              </w:rPr>
              <w:t>Write your campaign-specific answer here.</w:t>
            </w:r>
          </w:p>
        </w:tc>
      </w:tr>
      <w:tr>
        <w:tc>
          <w:tcPr>
            <w:tcW w:type="dxa" w:w="5040"/>
          </w:tcPr>
          <w:p>
            <w:r/>
            <w:r>
              <w:rPr>
                <w:b w:val="0"/>
                <w:sz w:val="20"/>
              </w:rPr>
              <w:t>Best campaign to test first</w:t>
            </w:r>
          </w:p>
        </w:tc>
        <w:tc>
          <w:tcPr>
            <w:tcW w:type="dxa" w:w="5040"/>
          </w:tcPr>
          <w:p>
            <w:r/>
            <w:r>
              <w:rPr>
                <w:b w:val="0"/>
                <w:sz w:val="20"/>
              </w:rPr>
              <w:t>Write your campaign-specific answer here.</w:t>
            </w:r>
          </w:p>
        </w:tc>
      </w:tr>
    </w:tbl>
    <w:p/>
    <w:p>
      <w:pPr>
        <w:pStyle w:val="Heading2"/>
      </w:pPr>
      <w:r>
        <w:t>Campaign Decision</w:t>
      </w:r>
    </w:p>
    <w:p>
      <w:pPr>
        <w:pStyle w:val="ListBullet"/>
      </w:pPr>
      <w:r>
        <w:rPr>
          <w:b/>
        </w:rPr>
        <w:t xml:space="preserve">Keep: </w:t>
      </w:r>
      <w:r>
        <w:t>Keep this expansion if it creates a distinct buying reason, not just a renamed version of the same report.</w:t>
      </w:r>
    </w:p>
    <w:p>
      <w:pPr>
        <w:pStyle w:val="ListBullet"/>
      </w:pPr>
      <w:r>
        <w:rPr>
          <w:b/>
        </w:rPr>
        <w:t xml:space="preserve">Pause: </w:t>
      </w:r>
      <w:r>
        <w:t>Pause this expansion if the same product, same promise, and same content would be reused again.</w:t>
      </w:r>
    </w:p>
    <w:p>
      <w:pPr>
        <w:pStyle w:val="Heading1"/>
      </w:pPr>
      <w:r>
        <w:t>Worksheet 4: Platform Expansion</w:t>
      </w:r>
    </w:p>
    <w:p>
      <w:pPr>
        <w:spacing w:after="120" w:line="259" w:lineRule="auto"/>
      </w:pPr>
      <w:r>
        <w:t>Use this worksheet to turn one report into campaigns for email, blog, short-form video, and social posts.</w:t>
      </w:r>
    </w:p>
    <w:p>
      <w:pPr>
        <w:pStyle w:val="Heading2"/>
      </w:pPr>
      <w:r>
        <w:t>How To Use This Worksheet</w:t>
      </w:r>
    </w:p>
    <w:p>
      <w:pPr>
        <w:spacing w:after="120" w:line="259" w:lineRule="auto"/>
      </w:pPr>
      <w:r>
        <w:t>Start with the report or campaign that already has the clearest buyer problem. Then branch outward only when the new angle has a different promise, product fit, or promotional path.</w:t>
      </w:r>
    </w:p>
    <w:tbl>
      <w:tblPr>
        <w:tblStyle w:val="TableGrid"/>
        <w:tblW w:type="auto" w:w="0"/>
        <w:tblLook w:firstColumn="1" w:firstRow="1" w:lastColumn="0" w:lastRow="0" w:noHBand="0" w:noVBand="1" w:val="04A0"/>
      </w:tblPr>
      <w:tblGrid>
        <w:gridCol w:w="5040"/>
        <w:gridCol w:w="5040"/>
      </w:tblGrid>
      <w:tr>
        <w:tc>
          <w:tcPr>
            <w:tcW w:type="dxa" w:w="5040"/>
            <w:shd w:fill="D9EAF7"/>
          </w:tcPr>
          <w:p>
            <w:r/>
            <w:r>
              <w:rPr>
                <w:b/>
                <w:sz w:val="20"/>
              </w:rPr>
              <w:t>Field</w:t>
            </w:r>
          </w:p>
        </w:tc>
        <w:tc>
          <w:tcPr>
            <w:tcW w:type="dxa" w:w="5040"/>
            <w:shd w:fill="D9EAF7"/>
          </w:tcPr>
          <w:p>
            <w:r/>
            <w:r>
              <w:rPr>
                <w:b/>
                <w:sz w:val="20"/>
              </w:rPr>
              <w:t>Your Answer</w:t>
            </w:r>
          </w:p>
        </w:tc>
      </w:tr>
      <w:tr>
        <w:tc>
          <w:tcPr>
            <w:tcW w:type="dxa" w:w="5040"/>
          </w:tcPr>
          <w:p>
            <w:r/>
            <w:r>
              <w:rPr>
                <w:b w:val="0"/>
                <w:sz w:val="20"/>
              </w:rPr>
              <w:t>Core campaign promise</w:t>
            </w:r>
          </w:p>
        </w:tc>
        <w:tc>
          <w:tcPr>
            <w:tcW w:type="dxa" w:w="5040"/>
          </w:tcPr>
          <w:p>
            <w:r/>
            <w:r>
              <w:rPr>
                <w:b w:val="0"/>
                <w:sz w:val="20"/>
              </w:rPr>
              <w:t>Write your campaign-specific answer here.</w:t>
            </w:r>
          </w:p>
        </w:tc>
      </w:tr>
      <w:tr>
        <w:tc>
          <w:tcPr>
            <w:tcW w:type="dxa" w:w="5040"/>
          </w:tcPr>
          <w:p>
            <w:r/>
            <w:r>
              <w:rPr>
                <w:b w:val="0"/>
                <w:sz w:val="20"/>
              </w:rPr>
              <w:t>Email list angle</w:t>
            </w:r>
          </w:p>
        </w:tc>
        <w:tc>
          <w:tcPr>
            <w:tcW w:type="dxa" w:w="5040"/>
          </w:tcPr>
          <w:p>
            <w:r/>
            <w:r>
              <w:rPr>
                <w:b w:val="0"/>
                <w:sz w:val="20"/>
              </w:rPr>
              <w:t>Write your campaign-specific answer here.</w:t>
            </w:r>
          </w:p>
        </w:tc>
      </w:tr>
      <w:tr>
        <w:tc>
          <w:tcPr>
            <w:tcW w:type="dxa" w:w="5040"/>
          </w:tcPr>
          <w:p>
            <w:r/>
            <w:r>
              <w:rPr>
                <w:b w:val="0"/>
                <w:sz w:val="20"/>
              </w:rPr>
              <w:t>Blog search angle</w:t>
            </w:r>
          </w:p>
        </w:tc>
        <w:tc>
          <w:tcPr>
            <w:tcW w:type="dxa" w:w="5040"/>
          </w:tcPr>
          <w:p>
            <w:r/>
            <w:r>
              <w:rPr>
                <w:b w:val="0"/>
                <w:sz w:val="20"/>
              </w:rPr>
              <w:t>Write your campaign-specific answer here.</w:t>
            </w:r>
          </w:p>
        </w:tc>
      </w:tr>
      <w:tr>
        <w:tc>
          <w:tcPr>
            <w:tcW w:type="dxa" w:w="5040"/>
          </w:tcPr>
          <w:p>
            <w:r/>
            <w:r>
              <w:rPr>
                <w:b w:val="0"/>
                <w:sz w:val="20"/>
              </w:rPr>
              <w:t>TikTok or Reels angle</w:t>
            </w:r>
          </w:p>
        </w:tc>
        <w:tc>
          <w:tcPr>
            <w:tcW w:type="dxa" w:w="5040"/>
          </w:tcPr>
          <w:p>
            <w:r/>
            <w:r>
              <w:rPr>
                <w:b w:val="0"/>
                <w:sz w:val="20"/>
              </w:rPr>
              <w:t>Write your campaign-specific answer here.</w:t>
            </w:r>
          </w:p>
        </w:tc>
      </w:tr>
      <w:tr>
        <w:tc>
          <w:tcPr>
            <w:tcW w:type="dxa" w:w="5040"/>
          </w:tcPr>
          <w:p>
            <w:r/>
            <w:r>
              <w:rPr>
                <w:b w:val="0"/>
                <w:sz w:val="20"/>
              </w:rPr>
              <w:t>Facebook or community post angle</w:t>
            </w:r>
          </w:p>
        </w:tc>
        <w:tc>
          <w:tcPr>
            <w:tcW w:type="dxa" w:w="5040"/>
          </w:tcPr>
          <w:p>
            <w:r/>
            <w:r>
              <w:rPr>
                <w:b w:val="0"/>
                <w:sz w:val="20"/>
              </w:rPr>
              <w:t>Write your campaign-specific answer here.</w:t>
            </w:r>
          </w:p>
        </w:tc>
      </w:tr>
      <w:tr>
        <w:tc>
          <w:tcPr>
            <w:tcW w:type="dxa" w:w="5040"/>
          </w:tcPr>
          <w:p>
            <w:r/>
            <w:r>
              <w:rPr>
                <w:b w:val="0"/>
                <w:sz w:val="20"/>
              </w:rPr>
              <w:t>CTA for each platform</w:t>
            </w:r>
          </w:p>
        </w:tc>
        <w:tc>
          <w:tcPr>
            <w:tcW w:type="dxa" w:w="5040"/>
          </w:tcPr>
          <w:p>
            <w:r/>
            <w:r>
              <w:rPr>
                <w:b w:val="0"/>
                <w:sz w:val="20"/>
              </w:rPr>
              <w:t>Write your campaign-specific answer here.</w:t>
            </w:r>
          </w:p>
        </w:tc>
      </w:tr>
      <w:tr>
        <w:tc>
          <w:tcPr>
            <w:tcW w:type="dxa" w:w="5040"/>
          </w:tcPr>
          <w:p>
            <w:r/>
            <w:r>
              <w:rPr>
                <w:b w:val="0"/>
                <w:sz w:val="20"/>
              </w:rPr>
              <w:t>Tracking metric by platform</w:t>
            </w:r>
          </w:p>
        </w:tc>
        <w:tc>
          <w:tcPr>
            <w:tcW w:type="dxa" w:w="5040"/>
          </w:tcPr>
          <w:p>
            <w:r/>
            <w:r>
              <w:rPr>
                <w:b w:val="0"/>
                <w:sz w:val="20"/>
              </w:rPr>
              <w:t>Write your campaign-specific answer here.</w:t>
            </w:r>
          </w:p>
        </w:tc>
      </w:tr>
    </w:tbl>
    <w:p/>
    <w:p>
      <w:pPr>
        <w:pStyle w:val="Heading2"/>
      </w:pPr>
      <w:r>
        <w:t>Campaign Decision</w:t>
      </w:r>
    </w:p>
    <w:p>
      <w:pPr>
        <w:pStyle w:val="ListBullet"/>
      </w:pPr>
      <w:r>
        <w:rPr>
          <w:b/>
        </w:rPr>
        <w:t xml:space="preserve">Keep: </w:t>
      </w:r>
      <w:r>
        <w:t>Keep this expansion if it creates a distinct buying reason, not just a renamed version of the same report.</w:t>
      </w:r>
    </w:p>
    <w:p>
      <w:pPr>
        <w:pStyle w:val="ListBullet"/>
      </w:pPr>
      <w:r>
        <w:rPr>
          <w:b/>
        </w:rPr>
        <w:t xml:space="preserve">Pause: </w:t>
      </w:r>
      <w:r>
        <w:t>Pause this expansion if the same product, same promise, and same content would be reused again.</w:t>
      </w:r>
    </w:p>
    <w:p>
      <w:pPr>
        <w:pStyle w:val="Heading1"/>
      </w:pPr>
      <w:r>
        <w:t>Worksheet 5: Audience Segment Expansion</w:t>
      </w:r>
    </w:p>
    <w:p>
      <w:pPr>
        <w:spacing w:after="120" w:line="259" w:lineRule="auto"/>
      </w:pPr>
      <w:r>
        <w:t>Use this worksheet when the same niche contains different buyer types with different motivations.</w:t>
      </w:r>
    </w:p>
    <w:p>
      <w:pPr>
        <w:pStyle w:val="Heading2"/>
      </w:pPr>
      <w:r>
        <w:t>How To Use This Worksheet</w:t>
      </w:r>
    </w:p>
    <w:p>
      <w:pPr>
        <w:spacing w:after="120" w:line="259" w:lineRule="auto"/>
      </w:pPr>
      <w:r>
        <w:t>Start with the report or campaign that already has the clearest buyer problem. Then branch outward only when the new angle has a different promise, product fit, or promotional path.</w:t>
      </w:r>
    </w:p>
    <w:tbl>
      <w:tblPr>
        <w:tblStyle w:val="TableGrid"/>
        <w:tblW w:type="auto" w:w="0"/>
        <w:tblLook w:firstColumn="1" w:firstRow="1" w:lastColumn="0" w:lastRow="0" w:noHBand="0" w:noVBand="1" w:val="04A0"/>
      </w:tblPr>
      <w:tblGrid>
        <w:gridCol w:w="5040"/>
        <w:gridCol w:w="5040"/>
      </w:tblGrid>
      <w:tr>
        <w:tc>
          <w:tcPr>
            <w:tcW w:type="dxa" w:w="5040"/>
            <w:shd w:fill="D9EAF7"/>
          </w:tcPr>
          <w:p>
            <w:r/>
            <w:r>
              <w:rPr>
                <w:b/>
                <w:sz w:val="20"/>
              </w:rPr>
              <w:t>Field</w:t>
            </w:r>
          </w:p>
        </w:tc>
        <w:tc>
          <w:tcPr>
            <w:tcW w:type="dxa" w:w="5040"/>
            <w:shd w:fill="D9EAF7"/>
          </w:tcPr>
          <w:p>
            <w:r/>
            <w:r>
              <w:rPr>
                <w:b/>
                <w:sz w:val="20"/>
              </w:rPr>
              <w:t>Your Answer</w:t>
            </w:r>
          </w:p>
        </w:tc>
      </w:tr>
      <w:tr>
        <w:tc>
          <w:tcPr>
            <w:tcW w:type="dxa" w:w="5040"/>
          </w:tcPr>
          <w:p>
            <w:r/>
            <w:r>
              <w:rPr>
                <w:b w:val="0"/>
                <w:sz w:val="20"/>
              </w:rPr>
              <w:t>Main niche</w:t>
            </w:r>
          </w:p>
        </w:tc>
        <w:tc>
          <w:tcPr>
            <w:tcW w:type="dxa" w:w="5040"/>
          </w:tcPr>
          <w:p>
            <w:r/>
            <w:r>
              <w:rPr>
                <w:b w:val="0"/>
                <w:sz w:val="20"/>
              </w:rPr>
              <w:t>Write your campaign-specific answer here.</w:t>
            </w:r>
          </w:p>
        </w:tc>
      </w:tr>
      <w:tr>
        <w:tc>
          <w:tcPr>
            <w:tcW w:type="dxa" w:w="5040"/>
          </w:tcPr>
          <w:p>
            <w:r/>
            <w:r>
              <w:rPr>
                <w:b w:val="0"/>
                <w:sz w:val="20"/>
              </w:rPr>
              <w:t>Time-strapped beginner segment</w:t>
            </w:r>
          </w:p>
        </w:tc>
        <w:tc>
          <w:tcPr>
            <w:tcW w:type="dxa" w:w="5040"/>
          </w:tcPr>
          <w:p>
            <w:r/>
            <w:r>
              <w:rPr>
                <w:b w:val="0"/>
                <w:sz w:val="20"/>
              </w:rPr>
              <w:t>Write your campaign-specific answer here.</w:t>
            </w:r>
          </w:p>
        </w:tc>
      </w:tr>
      <w:tr>
        <w:tc>
          <w:tcPr>
            <w:tcW w:type="dxa" w:w="5040"/>
          </w:tcPr>
          <w:p>
            <w:r/>
            <w:r>
              <w:rPr>
                <w:b w:val="0"/>
                <w:sz w:val="20"/>
              </w:rPr>
              <w:t>Budget-conscious beginner segment</w:t>
            </w:r>
          </w:p>
        </w:tc>
        <w:tc>
          <w:tcPr>
            <w:tcW w:type="dxa" w:w="5040"/>
          </w:tcPr>
          <w:p>
            <w:r/>
            <w:r>
              <w:rPr>
                <w:b w:val="0"/>
                <w:sz w:val="20"/>
              </w:rPr>
              <w:t>Write your campaign-specific answer here.</w:t>
            </w:r>
          </w:p>
        </w:tc>
      </w:tr>
      <w:tr>
        <w:tc>
          <w:tcPr>
            <w:tcW w:type="dxa" w:w="5040"/>
          </w:tcPr>
          <w:p>
            <w:r/>
            <w:r>
              <w:rPr>
                <w:b w:val="0"/>
                <w:sz w:val="20"/>
              </w:rPr>
              <w:t>Tool-confused beginner segment</w:t>
            </w:r>
          </w:p>
        </w:tc>
        <w:tc>
          <w:tcPr>
            <w:tcW w:type="dxa" w:w="5040"/>
          </w:tcPr>
          <w:p>
            <w:r/>
            <w:r>
              <w:rPr>
                <w:b w:val="0"/>
                <w:sz w:val="20"/>
              </w:rPr>
              <w:t>Write your campaign-specific answer here.</w:t>
            </w:r>
          </w:p>
        </w:tc>
      </w:tr>
      <w:tr>
        <w:tc>
          <w:tcPr>
            <w:tcW w:type="dxa" w:w="5040"/>
          </w:tcPr>
          <w:p>
            <w:r/>
            <w:r>
              <w:rPr>
                <w:b w:val="0"/>
                <w:sz w:val="20"/>
              </w:rPr>
              <w:t>Fast-action segment</w:t>
            </w:r>
          </w:p>
        </w:tc>
        <w:tc>
          <w:tcPr>
            <w:tcW w:type="dxa" w:w="5040"/>
          </w:tcPr>
          <w:p>
            <w:r/>
            <w:r>
              <w:rPr>
                <w:b w:val="0"/>
                <w:sz w:val="20"/>
              </w:rPr>
              <w:t>Write your campaign-specific answer here.</w:t>
            </w:r>
          </w:p>
        </w:tc>
      </w:tr>
      <w:tr>
        <w:tc>
          <w:tcPr>
            <w:tcW w:type="dxa" w:w="5040"/>
          </w:tcPr>
          <w:p>
            <w:r/>
            <w:r>
              <w:rPr>
                <w:b w:val="0"/>
                <w:sz w:val="20"/>
              </w:rPr>
              <w:t>Best product fit by segment</w:t>
            </w:r>
          </w:p>
        </w:tc>
        <w:tc>
          <w:tcPr>
            <w:tcW w:type="dxa" w:w="5040"/>
          </w:tcPr>
          <w:p>
            <w:r/>
            <w:r>
              <w:rPr>
                <w:b w:val="0"/>
                <w:sz w:val="20"/>
              </w:rPr>
              <w:t>Write your campaign-specific answer here.</w:t>
            </w:r>
          </w:p>
        </w:tc>
      </w:tr>
      <w:tr>
        <w:tc>
          <w:tcPr>
            <w:tcW w:type="dxa" w:w="5040"/>
          </w:tcPr>
          <w:p>
            <w:r/>
            <w:r>
              <w:rPr>
                <w:b w:val="0"/>
                <w:sz w:val="20"/>
              </w:rPr>
              <w:t>Separate campaign promise by segment</w:t>
            </w:r>
          </w:p>
        </w:tc>
        <w:tc>
          <w:tcPr>
            <w:tcW w:type="dxa" w:w="5040"/>
          </w:tcPr>
          <w:p>
            <w:r/>
            <w:r>
              <w:rPr>
                <w:b w:val="0"/>
                <w:sz w:val="20"/>
              </w:rPr>
              <w:t>Write your campaign-specific answer here.</w:t>
            </w:r>
          </w:p>
        </w:tc>
      </w:tr>
    </w:tbl>
    <w:p/>
    <w:p>
      <w:pPr>
        <w:pStyle w:val="Heading2"/>
      </w:pPr>
      <w:r>
        <w:t>Campaign Decision</w:t>
      </w:r>
    </w:p>
    <w:p>
      <w:pPr>
        <w:pStyle w:val="ListBullet"/>
      </w:pPr>
      <w:r>
        <w:rPr>
          <w:b/>
        </w:rPr>
        <w:t xml:space="preserve">Keep: </w:t>
      </w:r>
      <w:r>
        <w:t>Keep this expansion if it creates a distinct buying reason, not just a renamed version of the same report.</w:t>
      </w:r>
    </w:p>
    <w:p>
      <w:pPr>
        <w:pStyle w:val="ListBullet"/>
      </w:pPr>
      <w:r>
        <w:rPr>
          <w:b/>
        </w:rPr>
        <w:t xml:space="preserve">Pause: </w:t>
      </w:r>
      <w:r>
        <w:t>Pause this expansion if the same product, same promise, and same content would be reused again.</w:t>
      </w:r>
    </w:p>
    <w:p>
      <w:pPr>
        <w:pStyle w:val="Heading1"/>
      </w:pPr>
      <w:r>
        <w:t>Expansion Examples And Rules</w:t>
      </w:r>
    </w:p>
    <w:p>
      <w:pPr>
        <w:pStyle w:val="Heading2"/>
      </w:pPr>
      <w:r>
        <w:t>Adjacent Problem Expansion</w:t>
      </w:r>
    </w:p>
    <w:p>
      <w:pPr>
        <w:spacing w:after="120" w:line="259" w:lineRule="auto"/>
      </w:pPr>
      <w:r>
        <w:t>A report about AI content mistakes can branch into email prompts, social captions, blog outlines, or review content. Each branch should solve a separate content bottleneck. The product category may stay related, but the campaign promise must change enough to feel fresh.</w:t>
      </w:r>
    </w:p>
    <w:p>
      <w:pPr>
        <w:pStyle w:val="ListBullet"/>
      </w:pPr>
      <w:r>
        <w:rPr>
          <w:b/>
        </w:rPr>
        <w:t xml:space="preserve">Use this when: </w:t>
      </w:r>
      <w:r>
        <w:t>The new campaign has its own reader motivation, offer fit, and promotional angle.</w:t>
      </w:r>
    </w:p>
    <w:p>
      <w:pPr>
        <w:pStyle w:val="ListBullet"/>
      </w:pPr>
      <w:r>
        <w:rPr>
          <w:b/>
        </w:rPr>
        <w:t xml:space="preserve">Avoid this when: </w:t>
      </w:r>
      <w:r>
        <w:t>The new campaign only changes the headline while repeating the same promise and CTA.</w:t>
      </w:r>
    </w:p>
    <w:p>
      <w:pPr>
        <w:pStyle w:val="Heading2"/>
      </w:pPr>
      <w:r>
        <w:t>Skill-Level Expansion</w:t>
      </w:r>
    </w:p>
    <w:p>
      <w:pPr>
        <w:spacing w:after="120" w:line="259" w:lineRule="auto"/>
      </w:pPr>
      <w:r>
        <w:t>A beginner campaign might teach the first report and opt-in page. A next-level campaign might teach follow-up emails. An action-ready campaign might teach tracking and optimization. This ladder gives buyers several campaign paths without forcing them into unrelated niches.</w:t>
      </w:r>
    </w:p>
    <w:p>
      <w:pPr>
        <w:pStyle w:val="ListBullet"/>
      </w:pPr>
      <w:r>
        <w:rPr>
          <w:b/>
        </w:rPr>
        <w:t xml:space="preserve">Use this when: </w:t>
      </w:r>
      <w:r>
        <w:t>The new campaign has its own reader motivation, offer fit, and promotional angle.</w:t>
      </w:r>
    </w:p>
    <w:p>
      <w:pPr>
        <w:pStyle w:val="ListBullet"/>
      </w:pPr>
      <w:r>
        <w:rPr>
          <w:b/>
        </w:rPr>
        <w:t xml:space="preserve">Avoid this when: </w:t>
      </w:r>
      <w:r>
        <w:t>The new campaign only changes the headline while repeating the same promise and CTA.</w:t>
      </w:r>
    </w:p>
    <w:p>
      <w:pPr>
        <w:pStyle w:val="Heading2"/>
      </w:pPr>
      <w:r>
        <w:t>Product Category Expansion</w:t>
      </w:r>
    </w:p>
    <w:p>
      <w:pPr>
        <w:spacing w:after="120" w:line="259" w:lineRule="auto"/>
      </w:pPr>
      <w:r>
        <w:t>One audience may need software, templates, training, and checklists at different moments. A product-category expansion works when each product type solves a different stage of the buyer journey. It fails when every campaign says the same thing with another product link.</w:t>
      </w:r>
    </w:p>
    <w:p>
      <w:pPr>
        <w:pStyle w:val="ListBullet"/>
      </w:pPr>
      <w:r>
        <w:rPr>
          <w:b/>
        </w:rPr>
        <w:t xml:space="preserve">Use this when: </w:t>
      </w:r>
      <w:r>
        <w:t>The new campaign has its own reader motivation, offer fit, and promotional angle.</w:t>
      </w:r>
    </w:p>
    <w:p>
      <w:pPr>
        <w:pStyle w:val="ListBullet"/>
      </w:pPr>
      <w:r>
        <w:rPr>
          <w:b/>
        </w:rPr>
        <w:t xml:space="preserve">Avoid this when: </w:t>
      </w:r>
      <w:r>
        <w:t>The new campaign only changes the headline while repeating the same promise and CTA.</w:t>
      </w:r>
    </w:p>
    <w:p>
      <w:pPr>
        <w:pStyle w:val="Heading2"/>
      </w:pPr>
      <w:r>
        <w:t>Platform Expansion</w:t>
      </w:r>
    </w:p>
    <w:p>
      <w:pPr>
        <w:spacing w:after="120" w:line="259" w:lineRule="auto"/>
      </w:pPr>
      <w:r>
        <w:t>A report can become an email campaign, a blog campaign, a short-form campaign, or a social caption campaign. The platform changes the asset, not the underlying buyer problem. This lets the buyer multiply promotion while keeping the campaign focused.</w:t>
      </w:r>
    </w:p>
    <w:p>
      <w:pPr>
        <w:pStyle w:val="ListBullet"/>
      </w:pPr>
      <w:r>
        <w:rPr>
          <w:b/>
        </w:rPr>
        <w:t xml:space="preserve">Use this when: </w:t>
      </w:r>
      <w:r>
        <w:t>The new campaign has its own reader motivation, offer fit, and promotional angle.</w:t>
      </w:r>
    </w:p>
    <w:p>
      <w:pPr>
        <w:pStyle w:val="ListBullet"/>
      </w:pPr>
      <w:r>
        <w:rPr>
          <w:b/>
        </w:rPr>
        <w:t xml:space="preserve">Avoid this when: </w:t>
      </w:r>
      <w:r>
        <w:t>The new campaign only changes the headline while repeating the same promise and CTA.</w:t>
      </w:r>
    </w:p>
    <w:p>
      <w:pPr>
        <w:pStyle w:val="Heading2"/>
      </w:pPr>
      <w:r>
        <w:t>Audience Segment Expansion</w:t>
      </w:r>
    </w:p>
    <w:p>
      <w:pPr>
        <w:spacing w:after="120" w:line="259" w:lineRule="auto"/>
      </w:pPr>
      <w:r>
        <w:t>A budget-conscious beginner needs different framing than a speed-focused beginner. A tool-confused beginner needs clarity before options. Segment expansion works when the same niche contains different buying motivations. The campaign should speak directly to one segment at a time.</w:t>
      </w:r>
    </w:p>
    <w:p>
      <w:pPr>
        <w:pStyle w:val="ListBullet"/>
      </w:pPr>
      <w:r>
        <w:rPr>
          <w:b/>
        </w:rPr>
        <w:t xml:space="preserve">Use this when: </w:t>
      </w:r>
      <w:r>
        <w:t>The new campaign has its own reader motivation, offer fit, and promotional angle.</w:t>
      </w:r>
    </w:p>
    <w:p>
      <w:pPr>
        <w:pStyle w:val="ListBullet"/>
      </w:pPr>
      <w:r>
        <w:rPr>
          <w:b/>
        </w:rPr>
        <w:t xml:space="preserve">Avoid this when: </w:t>
      </w:r>
      <w:r>
        <w:t>The new campaign only changes the headline while repeating the same promise and CTA.</w:t>
      </w:r>
    </w:p>
    <w:p>
      <w:pPr>
        <w:pStyle w:val="Heading1"/>
      </w:pPr>
      <w:r>
        <w:t>Worksheet Scoring Rule</w:t>
      </w:r>
    </w:p>
    <w:p>
      <w:pPr>
        <w:spacing w:after="120" w:line="259" w:lineRule="auto"/>
      </w:pPr>
      <w:r>
        <w:t>Score every expansion idea from one to five for urgency, product fit, content variety, and list-building potential. Test the highest-scoring idea first because multiplication should follow evidence, not excitement. If two ideas score equally, choose the one with clearer promotional assets. Clear assets make launch week easier and reduce the chance of padded content.</w:t>
      </w:r>
    </w:p>
    <w:p>
      <w:pPr>
        <w:pStyle w:val="Heading1"/>
      </w:pPr>
      <w:r>
        <w:t>Completed Sample Expansion Paths</w:t>
      </w:r>
    </w:p>
    <w:p>
      <w:pPr>
        <w:pStyle w:val="Heading2"/>
      </w:pPr>
      <w:r>
        <w:t>From AI content report to email prompt campaign</w:t>
      </w:r>
    </w:p>
    <w:p>
      <w:pPr>
        <w:spacing w:after="120" w:line="259" w:lineRule="auto"/>
      </w:pPr>
      <w:r>
        <w:t>The original report explains why generic AI content fails. The expansion campaign targets beginners who specifically struggle with affiliate emails. The new report promise becomes how to prompt AI for clearer emails that connect pain, offer fit, and CTA. The matching product could be an email prompt pack or AI writing workflow.</w:t>
      </w:r>
    </w:p>
    <w:p>
      <w:pPr>
        <w:pStyle w:val="ListBullet"/>
      </w:pPr>
      <w:r>
        <w:rPr>
          <w:b/>
        </w:rPr>
        <w:t xml:space="preserve">Why it works: </w:t>
      </w:r>
      <w:r>
        <w:t>The expansion keeps the same audience ecosystem while changing the campaign problem and product path.</w:t>
      </w:r>
    </w:p>
    <w:p>
      <w:pPr>
        <w:pStyle w:val="ListBullet"/>
      </w:pPr>
      <w:r>
        <w:rPr>
          <w:b/>
        </w:rPr>
        <w:t xml:space="preserve">What to create next: </w:t>
      </w:r>
      <w:r>
        <w:t>Build a separate opt-in promise, follow-up email angle, and product-fit note for this branch.</w:t>
      </w:r>
    </w:p>
    <w:p>
      <w:pPr>
        <w:pStyle w:val="Heading2"/>
      </w:pPr>
      <w:r>
        <w:t>From list-building report to welcome sequence campaign</w:t>
      </w:r>
    </w:p>
    <w:p>
      <w:pPr>
        <w:spacing w:after="120" w:line="259" w:lineRule="auto"/>
      </w:pPr>
      <w:r>
        <w:t>The original report shows why affiliates need leads before direct clicks. The expansion targets people who now have subscribers but weak follow-up. The new campaign teaches the first five welcome emails. The offer fit becomes an autoresponder guide, email swipe file, or simple automation product.</w:t>
      </w:r>
    </w:p>
    <w:p>
      <w:pPr>
        <w:pStyle w:val="ListBullet"/>
      </w:pPr>
      <w:r>
        <w:rPr>
          <w:b/>
        </w:rPr>
        <w:t xml:space="preserve">Why it works: </w:t>
      </w:r>
      <w:r>
        <w:t>The expansion keeps the same audience ecosystem while changing the campaign problem and product path.</w:t>
      </w:r>
    </w:p>
    <w:p>
      <w:pPr>
        <w:pStyle w:val="ListBullet"/>
      </w:pPr>
      <w:r>
        <w:rPr>
          <w:b/>
        </w:rPr>
        <w:t xml:space="preserve">What to create next: </w:t>
      </w:r>
      <w:r>
        <w:t>Build a separate opt-in promise, follow-up email angle, and product-fit note for this branch.</w:t>
      </w:r>
    </w:p>
    <w:p>
      <w:pPr>
        <w:pStyle w:val="Heading2"/>
      </w:pPr>
      <w:r>
        <w:t>From product research report to comparison campaign</w:t>
      </w:r>
    </w:p>
    <w:p>
      <w:pPr>
        <w:spacing w:after="120" w:line="259" w:lineRule="auto"/>
      </w:pPr>
      <w:r>
        <w:t>The original report teaches how to choose a fitting product. The expansion targets buyers comparing two or three possible tools. The new campaign teaches how to compare benefits, buyer level, support, and price. The product fit becomes a comparison worksheet or product research toolkit.</w:t>
      </w:r>
    </w:p>
    <w:p>
      <w:pPr>
        <w:pStyle w:val="ListBullet"/>
      </w:pPr>
      <w:r>
        <w:rPr>
          <w:b/>
        </w:rPr>
        <w:t xml:space="preserve">Why it works: </w:t>
      </w:r>
      <w:r>
        <w:t>The expansion keeps the same audience ecosystem while changing the campaign problem and product path.</w:t>
      </w:r>
    </w:p>
    <w:p>
      <w:pPr>
        <w:pStyle w:val="ListBullet"/>
      </w:pPr>
      <w:r>
        <w:rPr>
          <w:b/>
        </w:rPr>
        <w:t xml:space="preserve">What to create next: </w:t>
      </w:r>
      <w:r>
        <w:t>Build a separate opt-in promise, follow-up email angle, and product-fit note for this branch.</w:t>
      </w:r>
    </w:p>
    <w:p>
      <w:pPr>
        <w:pStyle w:val="Heading2"/>
      </w:pPr>
      <w:r>
        <w:t>From bridge page report to bonus claim campaign</w:t>
      </w:r>
    </w:p>
    <w:p>
      <w:pPr>
        <w:spacing w:after="120" w:line="259" w:lineRule="auto"/>
      </w:pPr>
      <w:r>
        <w:t>The original report teaches a page between content and offer. The expansion targets affiliates who want stronger purchase reasons. The new campaign teaches bonus positioning and claim instructions. The offer fit becomes a bonus creation toolkit or delivery-page template pack.</w:t>
      </w:r>
    </w:p>
    <w:p>
      <w:pPr>
        <w:pStyle w:val="ListBullet"/>
      </w:pPr>
      <w:r>
        <w:rPr>
          <w:b/>
        </w:rPr>
        <w:t xml:space="preserve">Why it works: </w:t>
      </w:r>
      <w:r>
        <w:t>The expansion keeps the same audience ecosystem while changing the campaign problem and product path.</w:t>
      </w:r>
    </w:p>
    <w:p>
      <w:pPr>
        <w:pStyle w:val="ListBullet"/>
      </w:pPr>
      <w:r>
        <w:rPr>
          <w:b/>
        </w:rPr>
        <w:t xml:space="preserve">What to create next: </w:t>
      </w:r>
      <w:r>
        <w:t>Build a separate opt-in promise, follow-up email angle, and product-fit note for this branch.</w:t>
      </w:r>
    </w:p>
    <w:p>
      <w:pPr>
        <w:pStyle w:val="Heading2"/>
      </w:pPr>
      <w:r>
        <w:t>From short-form promo report to tracking campaign</w:t>
      </w:r>
    </w:p>
    <w:p>
      <w:pPr>
        <w:spacing w:after="120" w:line="259" w:lineRule="auto"/>
      </w:pPr>
      <w:r>
        <w:t>The original report teaches content promotion from one report. The expansion targets buyers who publish but do not know what worked. The new campaign teaches simple tracking for content, opt-ins, and clicks. The offer fit becomes a campaign dashboard, tracking sheet, or analytics basics guide.</w:t>
      </w:r>
    </w:p>
    <w:p>
      <w:pPr>
        <w:pStyle w:val="ListBullet"/>
      </w:pPr>
      <w:r>
        <w:rPr>
          <w:b/>
        </w:rPr>
        <w:t xml:space="preserve">Why it works: </w:t>
      </w:r>
      <w:r>
        <w:t>The expansion keeps the same audience ecosystem while changing the campaign problem and product path.</w:t>
      </w:r>
    </w:p>
    <w:p>
      <w:pPr>
        <w:pStyle w:val="ListBullet"/>
      </w:pPr>
      <w:r>
        <w:rPr>
          <w:b/>
        </w:rPr>
        <w:t xml:space="preserve">What to create next: </w:t>
      </w:r>
      <w:r>
        <w:t>Build a separate opt-in promise, follow-up email angle, and product-fit note for this branch.</w:t>
      </w:r>
    </w:p>
    <w:p>
      <w:pPr>
        <w:pStyle w:val="Heading1"/>
      </w:pPr>
      <w:r>
        <w:t>Expansion Approval Checklist</w:t>
      </w:r>
    </w:p>
    <w:p>
      <w:pPr>
        <w:pStyle w:val="ListBullet"/>
      </w:pPr>
      <w:r>
        <w:rPr>
          <w:b/>
        </w:rPr>
        <w:t xml:space="preserve">Approve if: </w:t>
      </w:r>
      <w:r>
        <w:t>The new campaign has a different buyer problem than the original report.</w:t>
      </w:r>
    </w:p>
    <w:p>
      <w:pPr>
        <w:pStyle w:val="ListBullet"/>
      </w:pPr>
      <w:r>
        <w:rPr>
          <w:b/>
        </w:rPr>
        <w:t xml:space="preserve">Approve if: </w:t>
      </w:r>
      <w:r>
        <w:t>The offer category changes or the recommendation framing changes clearly.</w:t>
      </w:r>
    </w:p>
    <w:p>
      <w:pPr>
        <w:pStyle w:val="ListBullet"/>
      </w:pPr>
      <w:r>
        <w:rPr>
          <w:b/>
        </w:rPr>
        <w:t xml:space="preserve">Approve if: </w:t>
      </w:r>
      <w:r>
        <w:t>The promotional content can use new hooks, not repeated headlines.</w:t>
      </w:r>
    </w:p>
    <w:p>
      <w:pPr>
        <w:pStyle w:val="ListBullet"/>
      </w:pPr>
      <w:r>
        <w:rPr>
          <w:b/>
        </w:rPr>
        <w:t xml:space="preserve">Approve if: </w:t>
      </w:r>
      <w:r>
        <w:t>The follow-up sequence answers new objections or next-step questions.</w:t>
      </w:r>
    </w:p>
    <w:p>
      <w:pPr>
        <w:pStyle w:val="ListBullet"/>
      </w:pPr>
      <w:r>
        <w:rPr>
          <w:b/>
        </w:rPr>
        <w:t xml:space="preserve">Approve if: </w:t>
      </w:r>
      <w:r>
        <w:t>The campaign can be tracked separately from the original campaign.</w:t>
      </w:r>
    </w:p>
    <w:p>
      <w:pPr>
        <w:pStyle w:val="Heading1"/>
      </w:pPr>
      <w:r>
        <w:t>Campaign Branch Planner</w:t>
      </w:r>
    </w:p>
    <w:p>
      <w:pPr>
        <w:spacing w:after="120" w:line="259" w:lineRule="auto"/>
      </w:pPr>
      <w:r>
        <w:t>Use this planner after completing any worksheet in this file. It forces the expansion idea into a campaign shape before you build assets. This matters because a niche idea is not a campaign until it has a buyer, promise, product, channel, and metric. The planner helps you separate strong expansion paths from interesting but weak topic ideas.</w:t>
      </w:r>
    </w:p>
    <w:tbl>
      <w:tblPr>
        <w:tblStyle w:val="TableGrid"/>
        <w:tblW w:type="auto" w:w="0"/>
        <w:tblLook w:firstColumn="1" w:firstRow="1" w:lastColumn="0" w:lastRow="0" w:noHBand="0" w:noVBand="1" w:val="04A0"/>
      </w:tblPr>
      <w:tblGrid>
        <w:gridCol w:w="5040"/>
        <w:gridCol w:w="5040"/>
      </w:tblGrid>
      <w:tr>
        <w:tc>
          <w:tcPr>
            <w:tcW w:type="dxa" w:w="5040"/>
          </w:tcPr>
          <w:p>
            <w:r>
              <w:rPr>
                <w:b/>
              </w:rPr>
              <w:t>Campaign Branch Field</w:t>
            </w:r>
          </w:p>
        </w:tc>
        <w:tc>
          <w:tcPr>
            <w:tcW w:type="dxa" w:w="5040"/>
          </w:tcPr>
          <w:p>
            <w:r>
              <w:rPr>
                <w:b/>
              </w:rPr>
              <w:t>Answer</w:t>
            </w:r>
          </w:p>
        </w:tc>
      </w:tr>
      <w:tr>
        <w:tc>
          <w:tcPr>
            <w:tcW w:type="dxa" w:w="5040"/>
          </w:tcPr>
          <w:p>
            <w:r>
              <w:t>Branch name</w:t>
            </w:r>
          </w:p>
        </w:tc>
        <w:tc>
          <w:tcPr>
            <w:tcW w:type="dxa" w:w="5040"/>
          </w:tcPr>
          <w:p>
            <w:r/>
          </w:p>
        </w:tc>
      </w:tr>
      <w:tr>
        <w:tc>
          <w:tcPr>
            <w:tcW w:type="dxa" w:w="5040"/>
          </w:tcPr>
          <w:p>
            <w:r>
              <w:t>Buyer segment</w:t>
            </w:r>
          </w:p>
        </w:tc>
        <w:tc>
          <w:tcPr>
            <w:tcW w:type="dxa" w:w="5040"/>
          </w:tcPr>
          <w:p>
            <w:r/>
          </w:p>
        </w:tc>
      </w:tr>
      <w:tr>
        <w:tc>
          <w:tcPr>
            <w:tcW w:type="dxa" w:w="5040"/>
          </w:tcPr>
          <w:p>
            <w:r>
              <w:t>Main problem</w:t>
            </w:r>
          </w:p>
        </w:tc>
        <w:tc>
          <w:tcPr>
            <w:tcW w:type="dxa" w:w="5040"/>
          </w:tcPr>
          <w:p>
            <w:r/>
          </w:p>
        </w:tc>
      </w:tr>
      <w:tr>
        <w:tc>
          <w:tcPr>
            <w:tcW w:type="dxa" w:w="5040"/>
          </w:tcPr>
          <w:p>
            <w:r>
              <w:t>Report promise</w:t>
            </w:r>
          </w:p>
        </w:tc>
        <w:tc>
          <w:tcPr>
            <w:tcW w:type="dxa" w:w="5040"/>
          </w:tcPr>
          <w:p>
            <w:r/>
          </w:p>
        </w:tc>
      </w:tr>
      <w:tr>
        <w:tc>
          <w:tcPr>
            <w:tcW w:type="dxa" w:w="5040"/>
          </w:tcPr>
          <w:p>
            <w:r>
              <w:t>Matching product category</w:t>
            </w:r>
          </w:p>
        </w:tc>
        <w:tc>
          <w:tcPr>
            <w:tcW w:type="dxa" w:w="5040"/>
          </w:tcPr>
          <w:p>
            <w:r/>
          </w:p>
        </w:tc>
      </w:tr>
      <w:tr>
        <w:tc>
          <w:tcPr>
            <w:tcW w:type="dxa" w:w="5040"/>
          </w:tcPr>
          <w:p>
            <w:r>
              <w:t>Primary promotion channel</w:t>
            </w:r>
          </w:p>
        </w:tc>
        <w:tc>
          <w:tcPr>
            <w:tcW w:type="dxa" w:w="5040"/>
          </w:tcPr>
          <w:p>
            <w:r/>
          </w:p>
        </w:tc>
      </w:tr>
      <w:tr>
        <w:tc>
          <w:tcPr>
            <w:tcW w:type="dxa" w:w="5040"/>
          </w:tcPr>
          <w:p>
            <w:r>
              <w:t>First content asset</w:t>
            </w:r>
          </w:p>
        </w:tc>
        <w:tc>
          <w:tcPr>
            <w:tcW w:type="dxa" w:w="5040"/>
          </w:tcPr>
          <w:p>
            <w:r/>
          </w:p>
        </w:tc>
      </w:tr>
      <w:tr>
        <w:tc>
          <w:tcPr>
            <w:tcW w:type="dxa" w:w="5040"/>
          </w:tcPr>
          <w:p>
            <w:r>
              <w:t>First email angle</w:t>
            </w:r>
          </w:p>
        </w:tc>
        <w:tc>
          <w:tcPr>
            <w:tcW w:type="dxa" w:w="5040"/>
          </w:tcPr>
          <w:p>
            <w:r/>
          </w:p>
        </w:tc>
      </w:tr>
      <w:tr>
        <w:tc>
          <w:tcPr>
            <w:tcW w:type="dxa" w:w="5040"/>
          </w:tcPr>
          <w:p>
            <w:r>
              <w:t>Tracking metric</w:t>
            </w:r>
          </w:p>
        </w:tc>
        <w:tc>
          <w:tcPr>
            <w:tcW w:type="dxa" w:w="5040"/>
          </w:tcPr>
          <w:p>
            <w:r/>
          </w:p>
        </w:tc>
      </w:tr>
      <w:tr>
        <w:tc>
          <w:tcPr>
            <w:tcW w:type="dxa" w:w="5040"/>
          </w:tcPr>
          <w:p>
            <w:r>
              <w:t>Reason this branch is different</w:t>
            </w:r>
          </w:p>
        </w:tc>
        <w:tc>
          <w:tcPr>
            <w:tcW w:type="dxa" w:w="5040"/>
          </w:tcPr>
          <w:p>
            <w:r/>
          </w:p>
        </w:tc>
      </w:tr>
    </w:tbl>
    <w:p/>
    <w:p>
      <w:pPr>
        <w:spacing w:after="120" w:line="259" w:lineRule="auto"/>
      </w:pPr>
      <w:r>
        <w:t>After completing the planner, compare the new branch against your original campaign. The branch should not use the same promise, same example, same CTA, and same product frame. A buyer should immediately understand why this is a separate campaign. If the difference is unclear, merge it back into the original campaign as supporting content.</w:t>
      </w:r>
    </w:p>
    <w:sectPr w:rsidR="00FC693F" w:rsidRPr="0006063C" w:rsidSect="00034616">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